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2E269" w14:textId="77777777" w:rsidR="00EC31E3" w:rsidRDefault="00EC31E3">
      <w:pPr>
        <w:spacing w:before="720"/>
      </w:pPr>
    </w:p>
    <w:p w14:paraId="17F4BD2C" w14:textId="77777777" w:rsidR="00EC31E3" w:rsidRDefault="00000000">
      <w:pPr>
        <w:spacing w:after="120"/>
        <w:jc w:val="center"/>
      </w:pPr>
      <w:r>
        <w:rPr>
          <w:b/>
          <w:bCs/>
          <w:color w:val="1B4F8A"/>
          <w:sz w:val="52"/>
          <w:szCs w:val="52"/>
        </w:rPr>
        <w:t>SPRINT BRIDGE ENTERPRISE</w:t>
      </w:r>
    </w:p>
    <w:p w14:paraId="230A1176" w14:textId="77777777" w:rsidR="00EC31E3" w:rsidRDefault="00000000">
      <w:pPr>
        <w:spacing w:after="80"/>
        <w:jc w:val="center"/>
      </w:pPr>
      <w:r>
        <w:rPr>
          <w:color w:val="2E75B6"/>
          <w:sz w:val="36"/>
          <w:szCs w:val="36"/>
        </w:rPr>
        <w:t>Security &amp; Compliance Whitepaper</w:t>
      </w:r>
    </w:p>
    <w:p w14:paraId="544C927D" w14:textId="77777777" w:rsidR="00EC31E3" w:rsidRDefault="00000000">
      <w:pPr>
        <w:spacing w:after="60"/>
        <w:jc w:val="center"/>
      </w:pPr>
      <w:r>
        <w:rPr>
          <w:color w:val="555577"/>
        </w:rPr>
        <w:t xml:space="preserve">Version </w:t>
      </w:r>
      <w:proofErr w:type="gramStart"/>
      <w:r>
        <w:rPr>
          <w:color w:val="555577"/>
        </w:rPr>
        <w:t>1.6.0  —</w:t>
      </w:r>
      <w:proofErr w:type="gramEnd"/>
      <w:r>
        <w:rPr>
          <w:color w:val="555577"/>
        </w:rPr>
        <w:t xml:space="preserve">  April 2026</w:t>
      </w:r>
    </w:p>
    <w:p w14:paraId="189CAF36" w14:textId="77777777" w:rsidR="00EC31E3" w:rsidRDefault="00000000">
      <w:pPr>
        <w:spacing w:after="600"/>
        <w:jc w:val="center"/>
      </w:pPr>
      <w:r>
        <w:rPr>
          <w:color w:val="555577"/>
        </w:rPr>
        <w:t xml:space="preserve">Published by </w:t>
      </w:r>
      <w:proofErr w:type="spellStart"/>
      <w:r>
        <w:rPr>
          <w:color w:val="555577"/>
        </w:rPr>
        <w:t>Xidisk</w:t>
      </w:r>
      <w:proofErr w:type="spellEnd"/>
      <w:r>
        <w:rPr>
          <w:color w:val="555577"/>
        </w:rPr>
        <w:t xml:space="preserve"> Software Solutions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C31E3" w14:paraId="2DE5130A" w14:textId="77777777">
        <w:tblPrEx>
          <w:tblCellMar>
            <w:top w:w="0" w:type="dxa"/>
            <w:bottom w:w="0" w:type="dxa"/>
          </w:tblCellMar>
        </w:tblPrEx>
        <w:tc>
          <w:tcPr>
            <w:tcW w:w="9360" w:type="dxa"/>
            <w:tcBorders>
              <w:top w:val="single" w:sz="1" w:space="0" w:color="C8D6E8"/>
              <w:left w:val="single" w:sz="1" w:space="0" w:color="C8D6E8"/>
              <w:bottom w:val="single" w:sz="1" w:space="0" w:color="C8D6E8"/>
              <w:right w:val="single" w:sz="1" w:space="0" w:color="C8D6E8"/>
            </w:tcBorders>
            <w:shd w:val="clear" w:color="auto" w:fill="F2F6FB"/>
            <w:tcMar>
              <w:top w:w="280" w:type="dxa"/>
              <w:left w:w="360" w:type="dxa"/>
              <w:bottom w:w="280" w:type="dxa"/>
              <w:right w:w="360" w:type="dxa"/>
            </w:tcMar>
          </w:tcPr>
          <w:p w14:paraId="4DFA7060" w14:textId="77777777" w:rsidR="00EC31E3" w:rsidRDefault="00000000">
            <w:pPr>
              <w:spacing w:after="140"/>
              <w:jc w:val="center"/>
            </w:pPr>
            <w:r>
              <w:rPr>
                <w:b/>
                <w:bCs/>
                <w:color w:val="1B4F8A"/>
                <w:sz w:val="28"/>
                <w:szCs w:val="28"/>
              </w:rPr>
              <w:t>Executive Summary</w:t>
            </w:r>
          </w:p>
          <w:p w14:paraId="1BB5F0D6" w14:textId="77777777" w:rsidR="00EC31E3" w:rsidRDefault="00000000">
            <w:pPr>
              <w:jc w:val="both"/>
            </w:pPr>
            <w:r>
              <w:rPr>
                <w:color w:val="1A1A2E"/>
              </w:rPr>
              <w:t xml:space="preserve">This whitepaper describes the security architecture, access controls, audit capabilities, data protection practices, and regulatory compliance framework of Sprint Bridge Enterprise — an enterprise-grade Agile project management platform developed by </w:t>
            </w:r>
            <w:proofErr w:type="spellStart"/>
            <w:r>
              <w:rPr>
                <w:color w:val="1A1A2E"/>
              </w:rPr>
              <w:t>Xidisk</w:t>
            </w:r>
            <w:proofErr w:type="spellEnd"/>
            <w:r>
              <w:rPr>
                <w:color w:val="1A1A2E"/>
              </w:rPr>
              <w:t xml:space="preserve"> Software Solutions. It is intended for security officers, compliance teams, procurement evaluators, and organizational decision-makers assessing Sprint Bridge for enterprise deployment.</w:t>
            </w:r>
          </w:p>
        </w:tc>
      </w:tr>
    </w:tbl>
    <w:p w14:paraId="4818438B" w14:textId="77777777" w:rsidR="00EC31E3" w:rsidRDefault="00EC31E3">
      <w:pPr>
        <w:spacing w:before="480"/>
      </w:pPr>
    </w:p>
    <w:p w14:paraId="65E40E53" w14:textId="38A97A1D" w:rsidR="00EC31E3" w:rsidRDefault="00EC31E3">
      <w:pPr>
        <w:jc w:val="center"/>
      </w:pPr>
    </w:p>
    <w:p w14:paraId="79067664" w14:textId="77777777" w:rsidR="00EC31E3" w:rsidRDefault="00000000">
      <w:r>
        <w:br w:type="page"/>
      </w:r>
    </w:p>
    <w:p w14:paraId="07F8DE48" w14:textId="77777777" w:rsidR="00EC31E3" w:rsidRDefault="00000000">
      <w:pPr>
        <w:pStyle w:val="Heading1"/>
        <w:pBdr>
          <w:bottom w:val="single" w:sz="6" w:space="6" w:color="2E75B6"/>
        </w:pBdr>
      </w:pPr>
      <w:r>
        <w:lastRenderedPageBreak/>
        <w:t>Table of Contents</w:t>
      </w:r>
    </w:p>
    <w:p w14:paraId="71741EAF" w14:textId="77777777" w:rsidR="00EC31E3" w:rsidRDefault="00000000">
      <w:pPr>
        <w:spacing w:before="60" w:after="60"/>
      </w:pPr>
      <w:r>
        <w:rPr>
          <w:color w:val="1A1A2E"/>
        </w:rPr>
        <w:t>1. Security Architecture Overview</w:t>
      </w:r>
    </w:p>
    <w:p w14:paraId="0ECA1810" w14:textId="77777777" w:rsidR="00EC31E3" w:rsidRDefault="00000000">
      <w:pPr>
        <w:spacing w:before="60" w:after="60"/>
      </w:pPr>
      <w:r>
        <w:rPr>
          <w:color w:val="1A1A2E"/>
        </w:rPr>
        <w:t>2. Authentication &amp; Identity Management</w:t>
      </w:r>
    </w:p>
    <w:p w14:paraId="7A09D448" w14:textId="77777777" w:rsidR="00EC31E3" w:rsidRDefault="00000000">
      <w:pPr>
        <w:spacing w:before="60" w:after="60"/>
      </w:pPr>
      <w:r>
        <w:rPr>
          <w:color w:val="1A1A2E"/>
        </w:rPr>
        <w:t>3. Session Management &amp; Device Controls</w:t>
      </w:r>
    </w:p>
    <w:p w14:paraId="6621D061" w14:textId="77777777" w:rsidR="00EC31E3" w:rsidRDefault="00000000">
      <w:pPr>
        <w:spacing w:before="60" w:after="60"/>
      </w:pPr>
      <w:r>
        <w:rPr>
          <w:color w:val="1A1A2E"/>
        </w:rPr>
        <w:t>4. Role-Based Access Control</w:t>
      </w:r>
    </w:p>
    <w:p w14:paraId="3A440DC1" w14:textId="77777777" w:rsidR="00EC31E3" w:rsidRDefault="00000000">
      <w:pPr>
        <w:spacing w:before="60" w:after="60"/>
      </w:pPr>
      <w:r>
        <w:rPr>
          <w:color w:val="1A1A2E"/>
        </w:rPr>
        <w:t>5. Threat Detection &amp; IP Protection</w:t>
      </w:r>
    </w:p>
    <w:p w14:paraId="5FD069E5" w14:textId="77777777" w:rsidR="00EC31E3" w:rsidRDefault="00000000">
      <w:pPr>
        <w:spacing w:before="60" w:after="60"/>
      </w:pPr>
      <w:r>
        <w:rPr>
          <w:color w:val="1A1A2E"/>
        </w:rPr>
        <w:t>6. Audit Trails &amp; Activity Logging</w:t>
      </w:r>
    </w:p>
    <w:p w14:paraId="597B6CA7" w14:textId="77777777" w:rsidR="00EC31E3" w:rsidRDefault="00000000">
      <w:pPr>
        <w:spacing w:before="60" w:after="60"/>
      </w:pPr>
      <w:r>
        <w:rPr>
          <w:color w:val="1A1A2E"/>
        </w:rPr>
        <w:t>7. Data Protection &amp; Encryption</w:t>
      </w:r>
    </w:p>
    <w:p w14:paraId="6F04232C" w14:textId="77777777" w:rsidR="00EC31E3" w:rsidRDefault="00000000">
      <w:pPr>
        <w:spacing w:before="60" w:after="60"/>
      </w:pPr>
      <w:r>
        <w:rPr>
          <w:color w:val="1A1A2E"/>
        </w:rPr>
        <w:t>8. Multi-Tenant Data Isolation</w:t>
      </w:r>
    </w:p>
    <w:p w14:paraId="0CC64D64" w14:textId="77777777" w:rsidR="00EC31E3" w:rsidRDefault="00000000">
      <w:pPr>
        <w:spacing w:before="60" w:after="60"/>
      </w:pPr>
      <w:r>
        <w:rPr>
          <w:color w:val="1A1A2E"/>
        </w:rPr>
        <w:t>9. File &amp; Attachment Security</w:t>
      </w:r>
    </w:p>
    <w:p w14:paraId="2E93B94A" w14:textId="77777777" w:rsidR="00EC31E3" w:rsidRDefault="00000000">
      <w:pPr>
        <w:spacing w:before="60" w:after="60"/>
      </w:pPr>
      <w:r>
        <w:rPr>
          <w:color w:val="1A1A2E"/>
        </w:rPr>
        <w:t>10. External Stakeholder Access Controls</w:t>
      </w:r>
    </w:p>
    <w:p w14:paraId="74381C0E" w14:textId="77777777" w:rsidR="00EC31E3" w:rsidRDefault="00000000">
      <w:pPr>
        <w:spacing w:before="60" w:after="60"/>
      </w:pPr>
      <w:r>
        <w:rPr>
          <w:color w:val="1A1A2E"/>
        </w:rPr>
        <w:t>11. Regulatory Compliance Framework</w:t>
      </w:r>
    </w:p>
    <w:p w14:paraId="27992C90" w14:textId="77777777" w:rsidR="00EC31E3" w:rsidRDefault="00000000">
      <w:pPr>
        <w:spacing w:before="60" w:after="60"/>
      </w:pPr>
      <w:r>
        <w:rPr>
          <w:color w:val="1A1A2E"/>
        </w:rPr>
        <w:t>12. Financial Compliance — SOX &amp; ASC 350-40</w:t>
      </w:r>
    </w:p>
    <w:p w14:paraId="3A4F644F" w14:textId="77777777" w:rsidR="00EC31E3" w:rsidRDefault="00000000">
      <w:pPr>
        <w:spacing w:before="60" w:after="60"/>
      </w:pPr>
      <w:r>
        <w:rPr>
          <w:color w:val="1A1A2E"/>
        </w:rPr>
        <w:t>13. Infrastructure &amp; Deployment Security</w:t>
      </w:r>
    </w:p>
    <w:p w14:paraId="12C7F5EE" w14:textId="77777777" w:rsidR="00EC31E3" w:rsidRDefault="00000000">
      <w:pPr>
        <w:spacing w:before="60" w:after="60"/>
      </w:pPr>
      <w:r>
        <w:rPr>
          <w:color w:val="1A1A2E"/>
        </w:rPr>
        <w:t>14. Backup &amp; Disaster Recovery</w:t>
      </w:r>
    </w:p>
    <w:p w14:paraId="1C326D07" w14:textId="77777777" w:rsidR="00EC31E3" w:rsidRDefault="00000000">
      <w:pPr>
        <w:spacing w:before="60" w:after="60"/>
      </w:pPr>
      <w:r>
        <w:rPr>
          <w:color w:val="1A1A2E"/>
        </w:rPr>
        <w:t>15. Security Support &amp; Responsible Disclosure</w:t>
      </w:r>
    </w:p>
    <w:p w14:paraId="558D568C" w14:textId="77777777" w:rsidR="00EC31E3" w:rsidRDefault="00000000">
      <w:r>
        <w:br w:type="page"/>
      </w:r>
    </w:p>
    <w:p w14:paraId="2A3E0AC2" w14:textId="77777777" w:rsidR="00EC31E3" w:rsidRDefault="00000000">
      <w:pPr>
        <w:pStyle w:val="Heading1"/>
        <w:pBdr>
          <w:bottom w:val="single" w:sz="6" w:space="6" w:color="2E75B6"/>
        </w:pBdr>
      </w:pPr>
      <w:r>
        <w:lastRenderedPageBreak/>
        <w:t>1. Security Architecture Overview</w:t>
      </w:r>
    </w:p>
    <w:p w14:paraId="292F7C69" w14:textId="77777777" w:rsidR="00EC31E3" w:rsidRDefault="00000000">
      <w:pPr>
        <w:spacing w:before="80" w:after="80"/>
        <w:jc w:val="both"/>
      </w:pPr>
      <w:r>
        <w:rPr>
          <w:color w:val="1A1A2E"/>
        </w:rPr>
        <w:t>Sprint Bridge Enterprise is built on a defense-in-depth security model. Security is not a feature bolted on after the fact — it is embedded at every layer of the platform, from data storage and API processing to user authentication and front-end controls.</w:t>
      </w:r>
    </w:p>
    <w:p w14:paraId="1DC48A02" w14:textId="77777777" w:rsidR="00EC31E3" w:rsidRDefault="00EC31E3">
      <w:pPr>
        <w:spacing w:before="120"/>
      </w:pPr>
    </w:p>
    <w:p w14:paraId="17EF3B9B" w14:textId="77777777" w:rsidR="00EC31E3" w:rsidRDefault="00000000">
      <w:pPr>
        <w:spacing w:before="80" w:after="80"/>
        <w:jc w:val="both"/>
      </w:pPr>
      <w:r>
        <w:rPr>
          <w:color w:val="1A1A2E"/>
        </w:rPr>
        <w:t>The platform is designed for enterprise deployment in regulated industries where data confidentiality, audit readiness, and access governance are non-negotiable requirements. The following core principles guide every security decision within the product:</w:t>
      </w:r>
    </w:p>
    <w:p w14:paraId="4FCE6AB8" w14:textId="77777777" w:rsidR="00EC31E3" w:rsidRDefault="00EC31E3">
      <w:pPr>
        <w:spacing w:before="60"/>
      </w:pPr>
    </w:p>
    <w:p w14:paraId="3CE104A3" w14:textId="77777777" w:rsidR="00EC31E3" w:rsidRDefault="00000000">
      <w:pPr>
        <w:pStyle w:val="ListParagraph"/>
        <w:numPr>
          <w:ilvl w:val="0"/>
          <w:numId w:val="2"/>
        </w:numPr>
        <w:spacing w:before="40" w:after="40"/>
      </w:pPr>
      <w:r>
        <w:rPr>
          <w:b/>
          <w:bCs/>
          <w:color w:val="1A1A2E"/>
        </w:rPr>
        <w:t xml:space="preserve">Least privilege: </w:t>
      </w:r>
      <w:r>
        <w:rPr>
          <w:color w:val="1A1A2E"/>
        </w:rPr>
        <w:t>Users and system components access only what they need for their defined role — nothing more.</w:t>
      </w:r>
    </w:p>
    <w:p w14:paraId="1F7BBB5B" w14:textId="77777777" w:rsidR="00EC31E3" w:rsidRDefault="00000000">
      <w:pPr>
        <w:pStyle w:val="ListParagraph"/>
        <w:numPr>
          <w:ilvl w:val="0"/>
          <w:numId w:val="2"/>
        </w:numPr>
        <w:spacing w:before="40" w:after="40"/>
      </w:pPr>
      <w:r>
        <w:rPr>
          <w:b/>
          <w:bCs/>
          <w:color w:val="1A1A2E"/>
        </w:rPr>
        <w:t xml:space="preserve">Defense in depth: </w:t>
      </w:r>
      <w:r>
        <w:rPr>
          <w:color w:val="1A1A2E"/>
        </w:rPr>
        <w:t>Security controls operate at multiple independent layers so that no single failure exposes sensitive data.</w:t>
      </w:r>
    </w:p>
    <w:p w14:paraId="68CF593D" w14:textId="77777777" w:rsidR="00EC31E3" w:rsidRDefault="00000000">
      <w:pPr>
        <w:pStyle w:val="ListParagraph"/>
        <w:numPr>
          <w:ilvl w:val="0"/>
          <w:numId w:val="2"/>
        </w:numPr>
        <w:spacing w:before="40" w:after="40"/>
      </w:pPr>
      <w:r>
        <w:rPr>
          <w:b/>
          <w:bCs/>
          <w:color w:val="1A1A2E"/>
        </w:rPr>
        <w:t xml:space="preserve">Audit by default: </w:t>
      </w:r>
      <w:r>
        <w:rPr>
          <w:color w:val="1A1A2E"/>
        </w:rPr>
        <w:t>All significant user actions, data changes, and security events are logged automatically — no configuration required.</w:t>
      </w:r>
    </w:p>
    <w:p w14:paraId="759F686D" w14:textId="77777777" w:rsidR="00EC31E3" w:rsidRDefault="00000000">
      <w:pPr>
        <w:pStyle w:val="ListParagraph"/>
        <w:numPr>
          <w:ilvl w:val="0"/>
          <w:numId w:val="2"/>
        </w:numPr>
        <w:spacing w:before="40" w:after="40"/>
      </w:pPr>
      <w:r>
        <w:rPr>
          <w:b/>
          <w:bCs/>
          <w:color w:val="1A1A2E"/>
        </w:rPr>
        <w:t xml:space="preserve">Cryptographic integrity: </w:t>
      </w:r>
      <w:r>
        <w:rPr>
          <w:color w:val="1A1A2E"/>
        </w:rPr>
        <w:t>Audit records are protected against silent modification, providing tamper-evident evidence for regulatory review.</w:t>
      </w:r>
    </w:p>
    <w:p w14:paraId="7F7613AE" w14:textId="77777777" w:rsidR="00EC31E3" w:rsidRDefault="00000000">
      <w:pPr>
        <w:pStyle w:val="ListParagraph"/>
        <w:numPr>
          <w:ilvl w:val="0"/>
          <w:numId w:val="2"/>
        </w:numPr>
        <w:spacing w:before="40" w:after="40"/>
      </w:pPr>
      <w:r>
        <w:rPr>
          <w:b/>
          <w:bCs/>
          <w:color w:val="1A1A2E"/>
        </w:rPr>
        <w:t xml:space="preserve">Tenant isolation: </w:t>
      </w:r>
      <w:r>
        <w:rPr>
          <w:color w:val="1A1A2E"/>
        </w:rPr>
        <w:t>Organizational data is isolated at the data layer, not solely at the application layer, providing a structural guarantee against cross-tenant exposure.</w:t>
      </w:r>
    </w:p>
    <w:p w14:paraId="6FDE049A" w14:textId="77777777" w:rsidR="00EC31E3" w:rsidRDefault="00EC31E3">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C31E3" w14:paraId="7D57D501" w14:textId="77777777">
        <w:tblPrEx>
          <w:tblCellMar>
            <w:top w:w="0" w:type="dxa"/>
            <w:bottom w:w="0" w:type="dxa"/>
          </w:tblCellMar>
        </w:tblPrEx>
        <w:tc>
          <w:tcPr>
            <w:tcW w:w="9360" w:type="dxa"/>
            <w:tcBorders>
              <w:top w:val="single" w:sz="1" w:space="0" w:color="C8D6E8"/>
              <w:left w:val="single" w:sz="1" w:space="0" w:color="C8D6E8"/>
              <w:bottom w:val="single" w:sz="1" w:space="0" w:color="C8D6E8"/>
              <w:right w:val="single" w:sz="1" w:space="0" w:color="C8D6E8"/>
            </w:tcBorders>
            <w:shd w:val="clear" w:color="auto" w:fill="F2F6FB"/>
            <w:tcMar>
              <w:top w:w="160" w:type="dxa"/>
              <w:left w:w="200" w:type="dxa"/>
              <w:bottom w:w="160" w:type="dxa"/>
              <w:right w:w="200" w:type="dxa"/>
            </w:tcMar>
          </w:tcPr>
          <w:p w14:paraId="336374AB" w14:textId="77777777" w:rsidR="00EC31E3" w:rsidRDefault="00000000">
            <w:pPr>
              <w:spacing w:after="60"/>
            </w:pPr>
            <w:r>
              <w:rPr>
                <w:b/>
                <w:bCs/>
                <w:color w:val="1B4F8A"/>
              </w:rPr>
              <w:t>Security by Design</w:t>
            </w:r>
          </w:p>
          <w:p w14:paraId="097F8D2E" w14:textId="77777777" w:rsidR="00EC31E3" w:rsidRDefault="00000000">
            <w:pPr>
              <w:jc w:val="both"/>
            </w:pPr>
            <w:r>
              <w:rPr>
                <w:color w:val="1A1A2E"/>
                <w:sz w:val="21"/>
                <w:szCs w:val="21"/>
              </w:rPr>
              <w:t>Every Sprint Bridge API endpoint is protected by authentication middleware, role validation, and request-level audit logging. Security controls are enforced server-side and cannot be bypassed through client-side manipulation.</w:t>
            </w:r>
          </w:p>
        </w:tc>
      </w:tr>
    </w:tbl>
    <w:p w14:paraId="2D938984" w14:textId="77777777" w:rsidR="00EC31E3" w:rsidRDefault="00EC31E3">
      <w:pPr>
        <w:spacing w:before="200"/>
      </w:pPr>
    </w:p>
    <w:p w14:paraId="100F5410" w14:textId="77777777" w:rsidR="00EC31E3" w:rsidRDefault="00000000">
      <w:pPr>
        <w:pStyle w:val="Heading1"/>
        <w:pBdr>
          <w:bottom w:val="single" w:sz="6" w:space="6" w:color="2E75B6"/>
        </w:pBdr>
      </w:pPr>
      <w:r>
        <w:t>2. Authentication &amp; Identity Management</w:t>
      </w:r>
    </w:p>
    <w:p w14:paraId="3718ABC0" w14:textId="77777777" w:rsidR="00EC31E3" w:rsidRDefault="00000000">
      <w:pPr>
        <w:spacing w:before="80" w:after="80"/>
        <w:jc w:val="both"/>
      </w:pPr>
      <w:r>
        <w:rPr>
          <w:color w:val="1A1A2E"/>
        </w:rPr>
        <w:t>Sprint Bridge Enterprise provides a comprehensive, enterprise-grade identity and authentication framework. Authentication is designed to integrate with existing enterprise identity infrastructure while enforcing strong credential security.</w:t>
      </w:r>
    </w:p>
    <w:p w14:paraId="4881B898" w14:textId="77777777" w:rsidR="00EC31E3" w:rsidRDefault="00EC31E3">
      <w:pPr>
        <w:spacing w:before="120"/>
      </w:pPr>
    </w:p>
    <w:p w14:paraId="339382E0" w14:textId="77777777" w:rsidR="00EC31E3" w:rsidRDefault="00000000">
      <w:pPr>
        <w:pStyle w:val="Heading2"/>
      </w:pPr>
      <w:r>
        <w:t>2.1 Single Sign-On (SSO)</w:t>
      </w:r>
    </w:p>
    <w:p w14:paraId="3D10952E" w14:textId="77777777" w:rsidR="00EC31E3" w:rsidRDefault="00000000">
      <w:pPr>
        <w:spacing w:before="80" w:after="80"/>
        <w:jc w:val="both"/>
      </w:pPr>
      <w:r>
        <w:rPr>
          <w:color w:val="1A1A2E"/>
        </w:rPr>
        <w:t>Sprint Bridge integrates with enterprise SSO platforms to provide a seamless, centrally managed authentication experience. On a user's first successful SSO login, their account is automatically provisioned with the appropriate role and organizational membership — eliminating the need for manual user creation.</w:t>
      </w:r>
    </w:p>
    <w:p w14:paraId="4037DC54" w14:textId="77777777" w:rsidR="00EC31E3" w:rsidRDefault="00000000">
      <w:pPr>
        <w:pStyle w:val="ListParagraph"/>
        <w:numPr>
          <w:ilvl w:val="0"/>
          <w:numId w:val="2"/>
        </w:numPr>
        <w:spacing w:before="40" w:after="40"/>
      </w:pPr>
      <w:r>
        <w:rPr>
          <w:color w:val="1A1A2E"/>
        </w:rPr>
        <w:t>Supported identity providers: Google Workspace, Microsoft Azure Active Directory, SAML 2.0, OAuth 2.0, and LDAP/Active Directory.</w:t>
      </w:r>
    </w:p>
    <w:p w14:paraId="3A0C5B75" w14:textId="77777777" w:rsidR="00EC31E3" w:rsidRDefault="00000000">
      <w:pPr>
        <w:pStyle w:val="ListParagraph"/>
        <w:numPr>
          <w:ilvl w:val="0"/>
          <w:numId w:val="2"/>
        </w:numPr>
        <w:spacing w:before="40" w:after="40"/>
      </w:pPr>
      <w:r>
        <w:rPr>
          <w:color w:val="1A1A2E"/>
        </w:rPr>
        <w:t>User profiles and attributes are synchronized automatically, keeping account information current without administrative overhead.</w:t>
      </w:r>
    </w:p>
    <w:p w14:paraId="071D6249" w14:textId="77777777" w:rsidR="00EC31E3" w:rsidRDefault="00000000">
      <w:pPr>
        <w:pStyle w:val="ListParagraph"/>
        <w:numPr>
          <w:ilvl w:val="0"/>
          <w:numId w:val="2"/>
        </w:numPr>
        <w:spacing w:before="40" w:after="40"/>
      </w:pPr>
      <w:r>
        <w:rPr>
          <w:color w:val="1A1A2E"/>
        </w:rPr>
        <w:lastRenderedPageBreak/>
        <w:t>Profile images are cached and processed locally to prevent external data requests during active user sessions.</w:t>
      </w:r>
    </w:p>
    <w:p w14:paraId="0D5048A3" w14:textId="77777777" w:rsidR="00EC31E3" w:rsidRDefault="00EC31E3">
      <w:pPr>
        <w:spacing w:before="120"/>
      </w:pPr>
    </w:p>
    <w:p w14:paraId="5BFF5EF1" w14:textId="77777777" w:rsidR="00EC31E3" w:rsidRDefault="00000000">
      <w:pPr>
        <w:pStyle w:val="Heading2"/>
      </w:pPr>
      <w:r>
        <w:t>2.2 Token-Based Authentication &amp; Credential Security</w:t>
      </w:r>
    </w:p>
    <w:p w14:paraId="6EEA398F" w14:textId="77777777" w:rsidR="00EC31E3" w:rsidRDefault="00000000">
      <w:pPr>
        <w:spacing w:before="80" w:after="80"/>
        <w:jc w:val="both"/>
      </w:pPr>
      <w:r>
        <w:rPr>
          <w:color w:val="1A1A2E"/>
        </w:rPr>
        <w:t>Sprint Bridge uses short-lived, cryptographically signed authentication tokens with automatic rotation. This limits the window of exposure in the event a token is intercepted, and ensures that stale credentials cannot be reused.</w:t>
      </w:r>
    </w:p>
    <w:p w14:paraId="2AAF2660" w14:textId="77777777" w:rsidR="00EC31E3" w:rsidRDefault="00000000">
      <w:pPr>
        <w:pStyle w:val="ListParagraph"/>
        <w:numPr>
          <w:ilvl w:val="0"/>
          <w:numId w:val="2"/>
        </w:numPr>
        <w:spacing w:before="40" w:after="40"/>
      </w:pPr>
      <w:r>
        <w:rPr>
          <w:color w:val="1A1A2E"/>
        </w:rPr>
        <w:t>Token rotation on refresh prevents long-lived credential abuse.</w:t>
      </w:r>
    </w:p>
    <w:p w14:paraId="1C5FFB6E" w14:textId="77777777" w:rsidR="00EC31E3" w:rsidRDefault="00000000">
      <w:pPr>
        <w:pStyle w:val="ListParagraph"/>
        <w:numPr>
          <w:ilvl w:val="0"/>
          <w:numId w:val="2"/>
        </w:numPr>
        <w:spacing w:before="40" w:after="40"/>
      </w:pPr>
      <w:r>
        <w:rPr>
          <w:color w:val="1A1A2E"/>
        </w:rPr>
        <w:t>Passwords are hashed using an industry-standard adaptive algorithm with unique salts per user. Plaintext passwords are never stored or logged.</w:t>
      </w:r>
    </w:p>
    <w:p w14:paraId="293D7A89" w14:textId="77777777" w:rsidR="00EC31E3" w:rsidRDefault="00000000">
      <w:pPr>
        <w:pStyle w:val="ListParagraph"/>
        <w:numPr>
          <w:ilvl w:val="0"/>
          <w:numId w:val="2"/>
        </w:numPr>
        <w:spacing w:before="40" w:after="40"/>
      </w:pPr>
      <w:r>
        <w:rPr>
          <w:color w:val="1A1A2E"/>
        </w:rPr>
        <w:t>Integration API keys are stored in encrypted form and are never transmitted back to the client after initial entry.</w:t>
      </w:r>
    </w:p>
    <w:p w14:paraId="3692AFDD" w14:textId="77777777" w:rsidR="00EC31E3" w:rsidRDefault="00EC31E3">
      <w:pPr>
        <w:spacing w:before="120"/>
      </w:pPr>
    </w:p>
    <w:p w14:paraId="34717FD0" w14:textId="77777777" w:rsidR="00EC31E3" w:rsidRDefault="00000000">
      <w:pPr>
        <w:pStyle w:val="Heading2"/>
      </w:pPr>
      <w:r>
        <w:t>2.3 Password Policy Enforcement</w:t>
      </w:r>
    </w:p>
    <w:p w14:paraId="01410FD4" w14:textId="77777777" w:rsidR="00EC31E3" w:rsidRDefault="00000000">
      <w:pPr>
        <w:spacing w:before="80" w:after="80"/>
        <w:jc w:val="both"/>
      </w:pPr>
      <w:r>
        <w:rPr>
          <w:color w:val="1A1A2E"/>
        </w:rPr>
        <w:t xml:space="preserve">Administrators can configure and enforce organization-specific password policies through the security settings console. All policies are applied server-side — they cannot be circumvented by modifying client-side </w:t>
      </w:r>
      <w:proofErr w:type="spellStart"/>
      <w:r>
        <w:rPr>
          <w:color w:val="1A1A2E"/>
        </w:rPr>
        <w:t>behaviour</w:t>
      </w:r>
      <w:proofErr w:type="spellEnd"/>
      <w:r>
        <w:rPr>
          <w:color w:val="1A1A2E"/>
        </w:rPr>
        <w:t>.</w:t>
      </w:r>
    </w:p>
    <w:p w14:paraId="3808F382" w14:textId="77777777" w:rsidR="00EC31E3" w:rsidRDefault="00000000">
      <w:pPr>
        <w:pStyle w:val="ListParagraph"/>
        <w:numPr>
          <w:ilvl w:val="0"/>
          <w:numId w:val="2"/>
        </w:numPr>
        <w:spacing w:before="40" w:after="40"/>
      </w:pPr>
      <w:r>
        <w:rPr>
          <w:color w:val="1A1A2E"/>
        </w:rPr>
        <w:t>Configurable complexity rules: minimum length, uppercase, numeric, and special character requirements.</w:t>
      </w:r>
    </w:p>
    <w:p w14:paraId="4A72A49C" w14:textId="77777777" w:rsidR="00EC31E3" w:rsidRDefault="00000000">
      <w:pPr>
        <w:pStyle w:val="ListParagraph"/>
        <w:numPr>
          <w:ilvl w:val="0"/>
          <w:numId w:val="2"/>
        </w:numPr>
        <w:spacing w:before="40" w:after="40"/>
      </w:pPr>
      <w:r>
        <w:rPr>
          <w:color w:val="1A1A2E"/>
        </w:rPr>
        <w:t>Password history enforcement prevents reuse of previously used credentials. History depth is administrator-configurable.</w:t>
      </w:r>
    </w:p>
    <w:p w14:paraId="2B21C692" w14:textId="77777777" w:rsidR="00EC31E3" w:rsidRDefault="00000000">
      <w:pPr>
        <w:pStyle w:val="ListParagraph"/>
        <w:numPr>
          <w:ilvl w:val="0"/>
          <w:numId w:val="2"/>
        </w:numPr>
        <w:spacing w:before="40" w:after="40"/>
      </w:pPr>
      <w:r>
        <w:rPr>
          <w:color w:val="1A1A2E"/>
        </w:rPr>
        <w:t>Administrative force-reset capability allows immediate enforcement of password changes across individual users or groups.</w:t>
      </w:r>
    </w:p>
    <w:p w14:paraId="49CB96F8" w14:textId="77777777" w:rsidR="00EC31E3" w:rsidRDefault="00000000">
      <w:pPr>
        <w:pStyle w:val="ListParagraph"/>
        <w:numPr>
          <w:ilvl w:val="0"/>
          <w:numId w:val="2"/>
        </w:numPr>
        <w:spacing w:before="40" w:after="40"/>
      </w:pPr>
      <w:r>
        <w:rPr>
          <w:color w:val="1A1A2E"/>
        </w:rPr>
        <w:t>Account lockout policies activate after a configurable number of consecutive failed authentication attempts.</w:t>
      </w:r>
    </w:p>
    <w:p w14:paraId="226B9052" w14:textId="77777777" w:rsidR="00EC31E3" w:rsidRDefault="00EC31E3">
      <w:pPr>
        <w:spacing w:before="200"/>
      </w:pPr>
    </w:p>
    <w:p w14:paraId="138C66AB" w14:textId="77777777" w:rsidR="00EC31E3" w:rsidRDefault="00000000">
      <w:r>
        <w:br w:type="page"/>
      </w:r>
    </w:p>
    <w:p w14:paraId="0C4B6F89" w14:textId="77777777" w:rsidR="00EC31E3" w:rsidRDefault="00000000">
      <w:pPr>
        <w:pStyle w:val="Heading1"/>
        <w:pBdr>
          <w:bottom w:val="single" w:sz="6" w:space="6" w:color="2E75B6"/>
        </w:pBdr>
      </w:pPr>
      <w:r>
        <w:lastRenderedPageBreak/>
        <w:t>3. Session Management &amp; Device Controls</w:t>
      </w:r>
    </w:p>
    <w:p w14:paraId="4502A433" w14:textId="77777777" w:rsidR="00EC31E3" w:rsidRDefault="00000000">
      <w:pPr>
        <w:spacing w:before="80" w:after="80"/>
        <w:jc w:val="both"/>
      </w:pPr>
      <w:r>
        <w:rPr>
          <w:color w:val="1A1A2E"/>
        </w:rPr>
        <w:t>Sprint Bridge employs advanced session lifecycle management to detect anomalous access patterns, enforce inactivity policies, and prevent session hijacking and credential reuse attacks.</w:t>
      </w:r>
    </w:p>
    <w:p w14:paraId="116212AB" w14:textId="77777777" w:rsidR="00EC31E3" w:rsidRDefault="00000000">
      <w:pPr>
        <w:pStyle w:val="ListParagraph"/>
        <w:numPr>
          <w:ilvl w:val="0"/>
          <w:numId w:val="2"/>
        </w:numPr>
        <w:spacing w:before="40" w:after="40"/>
      </w:pPr>
      <w:r>
        <w:rPr>
          <w:b/>
          <w:bCs/>
          <w:color w:val="1A1A2E"/>
        </w:rPr>
        <w:t xml:space="preserve">Device fingerprinting: </w:t>
      </w:r>
      <w:r>
        <w:rPr>
          <w:color w:val="1A1A2E"/>
        </w:rPr>
        <w:t>Sessions are bound to device context attributes. Logins from unrecognized devices are flagged and can trigger additional verification or alerts.</w:t>
      </w:r>
    </w:p>
    <w:p w14:paraId="7A72F14D" w14:textId="77777777" w:rsidR="00EC31E3" w:rsidRDefault="00000000">
      <w:pPr>
        <w:pStyle w:val="ListParagraph"/>
        <w:numPr>
          <w:ilvl w:val="0"/>
          <w:numId w:val="2"/>
        </w:numPr>
        <w:spacing w:before="40" w:after="40"/>
      </w:pPr>
      <w:r>
        <w:rPr>
          <w:b/>
          <w:bCs/>
          <w:color w:val="1A1A2E"/>
        </w:rPr>
        <w:t xml:space="preserve">Inactivity timeout: </w:t>
      </w:r>
      <w:r>
        <w:rPr>
          <w:color w:val="1A1A2E"/>
        </w:rPr>
        <w:t>Sessions are automatically terminated after a configurable period of inactivity, reducing the attack surface of unattended sessions.</w:t>
      </w:r>
    </w:p>
    <w:p w14:paraId="26A0063E" w14:textId="77777777" w:rsidR="00EC31E3" w:rsidRDefault="00000000">
      <w:pPr>
        <w:pStyle w:val="ListParagraph"/>
        <w:numPr>
          <w:ilvl w:val="0"/>
          <w:numId w:val="2"/>
        </w:numPr>
        <w:spacing w:before="40" w:after="40"/>
      </w:pPr>
      <w:r>
        <w:rPr>
          <w:b/>
          <w:bCs/>
          <w:color w:val="1A1A2E"/>
        </w:rPr>
        <w:t xml:space="preserve">Concurrent session controls: </w:t>
      </w:r>
      <w:r>
        <w:rPr>
          <w:color w:val="1A1A2E"/>
        </w:rPr>
        <w:t>The number of simultaneous active sessions per user can be limited, preventing credential sharing or parallel unauthorized access.</w:t>
      </w:r>
    </w:p>
    <w:p w14:paraId="641C4852" w14:textId="77777777" w:rsidR="00EC31E3" w:rsidRDefault="00000000">
      <w:pPr>
        <w:pStyle w:val="ListParagraph"/>
        <w:numPr>
          <w:ilvl w:val="0"/>
          <w:numId w:val="2"/>
        </w:numPr>
        <w:spacing w:before="40" w:after="40"/>
      </w:pPr>
      <w:r>
        <w:rPr>
          <w:b/>
          <w:bCs/>
          <w:color w:val="1A1A2E"/>
        </w:rPr>
        <w:t xml:space="preserve">Administrative session termination: </w:t>
      </w:r>
      <w:r>
        <w:rPr>
          <w:color w:val="1A1A2E"/>
        </w:rPr>
        <w:t>Security administrators can remotely and immediately terminate any active user session. The action is logged with full audit attribution.</w:t>
      </w:r>
    </w:p>
    <w:p w14:paraId="2C0F5CCA" w14:textId="77777777" w:rsidR="00EC31E3" w:rsidRDefault="00000000">
      <w:pPr>
        <w:pStyle w:val="ListParagraph"/>
        <w:numPr>
          <w:ilvl w:val="0"/>
          <w:numId w:val="2"/>
        </w:numPr>
        <w:spacing w:before="40" w:after="40"/>
      </w:pPr>
      <w:r>
        <w:rPr>
          <w:b/>
          <w:bCs/>
          <w:color w:val="1A1A2E"/>
        </w:rPr>
        <w:t xml:space="preserve">Secure session storage: </w:t>
      </w:r>
      <w:r>
        <w:rPr>
          <w:color w:val="1A1A2E"/>
        </w:rPr>
        <w:t>Session state is stored in an in-memory data store with password protection and persistence enabled — providing both performance and durability without exposing session data to external access.</w:t>
      </w:r>
    </w:p>
    <w:p w14:paraId="6467738B" w14:textId="77777777" w:rsidR="00EC31E3" w:rsidRDefault="00EC31E3">
      <w:pPr>
        <w:spacing w:before="200"/>
      </w:pPr>
    </w:p>
    <w:p w14:paraId="6FC8843E" w14:textId="77777777" w:rsidR="00EC31E3" w:rsidRDefault="00000000">
      <w:pPr>
        <w:pStyle w:val="Heading1"/>
        <w:pBdr>
          <w:bottom w:val="single" w:sz="6" w:space="6" w:color="2E75B6"/>
        </w:pBdr>
      </w:pPr>
      <w:r>
        <w:t>4. Role-Based Access Control</w:t>
      </w:r>
    </w:p>
    <w:p w14:paraId="7A863C2D" w14:textId="77777777" w:rsidR="00EC31E3" w:rsidRDefault="00000000">
      <w:pPr>
        <w:spacing w:before="80" w:after="80"/>
        <w:jc w:val="both"/>
      </w:pPr>
      <w:r>
        <w:rPr>
          <w:color w:val="1A1A2E"/>
        </w:rPr>
        <w:t>Sprint Bridge implements a comprehensive, multi-level role-based access control (RBAC) system. All permissions are enforced server-side on every API request. Client-side rendering state does not determine what data a user can access — the server independently validates every operation.</w:t>
      </w:r>
    </w:p>
    <w:p w14:paraId="0ABF7BB8" w14:textId="77777777" w:rsidR="00EC31E3" w:rsidRDefault="00EC31E3">
      <w:pPr>
        <w:spacing w:before="120"/>
      </w:pPr>
    </w:p>
    <w:p w14:paraId="6EF9EE93" w14:textId="77777777" w:rsidR="00EC31E3" w:rsidRDefault="00000000">
      <w:pPr>
        <w:pStyle w:val="Heading2"/>
      </w:pPr>
      <w:r>
        <w:t>4.1 Built-in Role Hierarchy</w:t>
      </w:r>
    </w:p>
    <w:p w14:paraId="0542681B" w14:textId="77777777" w:rsidR="00EC31E3" w:rsidRDefault="00000000">
      <w:pPr>
        <w:spacing w:before="80" w:after="80"/>
        <w:jc w:val="both"/>
      </w:pPr>
      <w:r>
        <w:rPr>
          <w:color w:val="1A1A2E"/>
        </w:rPr>
        <w:t>Sprint Bridge ships with a set of pre-defined roles that map directly to standard Agile delivery team structures:</w:t>
      </w:r>
    </w:p>
    <w:p w14:paraId="5FA07A18" w14:textId="77777777" w:rsidR="00EC31E3" w:rsidRDefault="00000000">
      <w:pPr>
        <w:pStyle w:val="ListParagraph"/>
        <w:numPr>
          <w:ilvl w:val="0"/>
          <w:numId w:val="2"/>
        </w:numPr>
        <w:spacing w:before="40" w:after="40"/>
      </w:pPr>
      <w:r>
        <w:rPr>
          <w:b/>
          <w:bCs/>
          <w:color w:val="1A1A2E"/>
        </w:rPr>
        <w:t xml:space="preserve">Administrator: </w:t>
      </w:r>
      <w:r>
        <w:rPr>
          <w:color w:val="1A1A2E"/>
        </w:rPr>
        <w:t>Full platform access, including security configuration, user management, compliance reporting, and financial controls.</w:t>
      </w:r>
    </w:p>
    <w:p w14:paraId="2A78E3F4" w14:textId="77777777" w:rsidR="00EC31E3" w:rsidRDefault="00000000">
      <w:pPr>
        <w:pStyle w:val="ListParagraph"/>
        <w:numPr>
          <w:ilvl w:val="0"/>
          <w:numId w:val="2"/>
        </w:numPr>
        <w:spacing w:before="40" w:after="40"/>
      </w:pPr>
      <w:r>
        <w:rPr>
          <w:b/>
          <w:bCs/>
          <w:color w:val="1A1A2E"/>
        </w:rPr>
        <w:t xml:space="preserve">Scrum Master: </w:t>
      </w:r>
      <w:r>
        <w:rPr>
          <w:color w:val="1A1A2E"/>
        </w:rPr>
        <w:t>Sprint management, team oversight, velocity analytics, and reporting access.</w:t>
      </w:r>
    </w:p>
    <w:p w14:paraId="7ACDDD6E" w14:textId="77777777" w:rsidR="00EC31E3" w:rsidRDefault="00000000">
      <w:pPr>
        <w:pStyle w:val="ListParagraph"/>
        <w:numPr>
          <w:ilvl w:val="0"/>
          <w:numId w:val="2"/>
        </w:numPr>
        <w:spacing w:before="40" w:after="40"/>
      </w:pPr>
      <w:r>
        <w:rPr>
          <w:b/>
          <w:bCs/>
          <w:color w:val="1A1A2E"/>
        </w:rPr>
        <w:t xml:space="preserve">Product Owner: </w:t>
      </w:r>
      <w:r>
        <w:rPr>
          <w:color w:val="1A1A2E"/>
        </w:rPr>
        <w:t>Backlog and roadmap management, stakeholder communication, and access to financial and delivery reports.</w:t>
      </w:r>
    </w:p>
    <w:p w14:paraId="46B4C457" w14:textId="77777777" w:rsidR="00EC31E3" w:rsidRDefault="00000000">
      <w:pPr>
        <w:pStyle w:val="ListParagraph"/>
        <w:numPr>
          <w:ilvl w:val="0"/>
          <w:numId w:val="2"/>
        </w:numPr>
        <w:spacing w:before="40" w:after="40"/>
      </w:pPr>
      <w:r>
        <w:rPr>
          <w:b/>
          <w:bCs/>
          <w:color w:val="1A1A2E"/>
        </w:rPr>
        <w:t xml:space="preserve">Developer: </w:t>
      </w:r>
      <w:r>
        <w:rPr>
          <w:color w:val="1A1A2E"/>
        </w:rPr>
        <w:t>Story, task, and defect management within assigned teams and projects.</w:t>
      </w:r>
    </w:p>
    <w:p w14:paraId="1FDD0F5B" w14:textId="77777777" w:rsidR="00EC31E3" w:rsidRDefault="00000000">
      <w:pPr>
        <w:pStyle w:val="ListParagraph"/>
        <w:numPr>
          <w:ilvl w:val="0"/>
          <w:numId w:val="2"/>
        </w:numPr>
        <w:spacing w:before="40" w:after="40"/>
      </w:pPr>
      <w:r>
        <w:rPr>
          <w:b/>
          <w:bCs/>
          <w:color w:val="1A1A2E"/>
        </w:rPr>
        <w:t xml:space="preserve">Tester: </w:t>
      </w:r>
      <w:r>
        <w:rPr>
          <w:color w:val="1A1A2E"/>
        </w:rPr>
        <w:t>Test case management, execution tracking, and quality assurance reporting.</w:t>
      </w:r>
    </w:p>
    <w:p w14:paraId="7EA2D00D" w14:textId="77777777" w:rsidR="00EC31E3" w:rsidRDefault="00000000">
      <w:pPr>
        <w:pStyle w:val="ListParagraph"/>
        <w:numPr>
          <w:ilvl w:val="0"/>
          <w:numId w:val="2"/>
        </w:numPr>
        <w:spacing w:before="40" w:after="40"/>
      </w:pPr>
      <w:r>
        <w:rPr>
          <w:b/>
          <w:bCs/>
          <w:color w:val="1A1A2E"/>
        </w:rPr>
        <w:t xml:space="preserve">Stakeholder: </w:t>
      </w:r>
      <w:r>
        <w:rPr>
          <w:color w:val="1A1A2E"/>
        </w:rPr>
        <w:t>Read-only, entity-scoped access through a dedicated external portal with restricted visibility.</w:t>
      </w:r>
    </w:p>
    <w:p w14:paraId="47147331" w14:textId="77777777" w:rsidR="00EC31E3" w:rsidRDefault="00EC31E3">
      <w:pPr>
        <w:spacing w:before="120"/>
      </w:pPr>
    </w:p>
    <w:p w14:paraId="7693EB00" w14:textId="77777777" w:rsidR="00EC31E3" w:rsidRDefault="00000000">
      <w:pPr>
        <w:pStyle w:val="Heading2"/>
      </w:pPr>
      <w:r>
        <w:t>4.2 Granular Permission Controls</w:t>
      </w:r>
    </w:p>
    <w:p w14:paraId="23AB54CA" w14:textId="77777777" w:rsidR="00EC31E3" w:rsidRDefault="00000000">
      <w:pPr>
        <w:spacing w:before="80" w:after="80"/>
        <w:jc w:val="both"/>
      </w:pPr>
      <w:r>
        <w:rPr>
          <w:color w:val="1A1A2E"/>
        </w:rPr>
        <w:t>Beyond role-level assignments, Sprint Bridge provides operation-level and field-level permission controls. Permissions cascade through a delegation model, enabling administrators to grant controlled authority without creating security gaps.</w:t>
      </w:r>
    </w:p>
    <w:p w14:paraId="7EE09189" w14:textId="77777777" w:rsidR="00EC31E3" w:rsidRDefault="00000000">
      <w:pPr>
        <w:pStyle w:val="ListParagraph"/>
        <w:numPr>
          <w:ilvl w:val="0"/>
          <w:numId w:val="2"/>
        </w:numPr>
        <w:spacing w:before="40" w:after="40"/>
      </w:pPr>
      <w:r>
        <w:rPr>
          <w:color w:val="1A1A2E"/>
        </w:rPr>
        <w:lastRenderedPageBreak/>
        <w:t>Individual operations — create, read, update, delete, approve, and export — are controlled independently per entity type.</w:t>
      </w:r>
    </w:p>
    <w:p w14:paraId="083C31E7" w14:textId="77777777" w:rsidR="00EC31E3" w:rsidRDefault="00000000">
      <w:pPr>
        <w:pStyle w:val="ListParagraph"/>
        <w:numPr>
          <w:ilvl w:val="0"/>
          <w:numId w:val="2"/>
        </w:numPr>
        <w:spacing w:before="40" w:after="40"/>
      </w:pPr>
      <w:r>
        <w:rPr>
          <w:color w:val="1A1A2E"/>
        </w:rPr>
        <w:t>Financial reports, executive dashboards, and compliance data are restricted by default to Administrator, Scrum Master, and Product Owner roles.</w:t>
      </w:r>
    </w:p>
    <w:p w14:paraId="08532B96" w14:textId="77777777" w:rsidR="00EC31E3" w:rsidRDefault="00000000">
      <w:pPr>
        <w:pStyle w:val="ListParagraph"/>
        <w:numPr>
          <w:ilvl w:val="0"/>
          <w:numId w:val="2"/>
        </w:numPr>
        <w:spacing w:before="40" w:after="40"/>
      </w:pPr>
      <w:r>
        <w:rPr>
          <w:color w:val="1A1A2E"/>
        </w:rPr>
        <w:t>Administrators can delegate team-level permission management to Scrum Masters within defined boundaries.</w:t>
      </w:r>
    </w:p>
    <w:p w14:paraId="79BBC399" w14:textId="77777777" w:rsidR="00EC31E3" w:rsidRDefault="00000000">
      <w:pPr>
        <w:pStyle w:val="ListParagraph"/>
        <w:numPr>
          <w:ilvl w:val="0"/>
          <w:numId w:val="2"/>
        </w:numPr>
        <w:spacing w:before="40" w:after="40"/>
      </w:pPr>
      <w:r>
        <w:rPr>
          <w:color w:val="1A1A2E"/>
        </w:rPr>
        <w:t>All permission changes are recorded in the audit trail, capturing before and after state with full user attribution.</w:t>
      </w:r>
    </w:p>
    <w:p w14:paraId="334BC7EF" w14:textId="77777777" w:rsidR="00EC31E3" w:rsidRDefault="00EC31E3">
      <w:pPr>
        <w:spacing w:before="200"/>
      </w:pPr>
    </w:p>
    <w:p w14:paraId="7D41DF55" w14:textId="77777777" w:rsidR="00EC31E3" w:rsidRDefault="00000000">
      <w:pPr>
        <w:pStyle w:val="Heading1"/>
        <w:pBdr>
          <w:bottom w:val="single" w:sz="6" w:space="6" w:color="2E75B6"/>
        </w:pBdr>
      </w:pPr>
      <w:r>
        <w:t>5. Threat Detection &amp; IP Protection</w:t>
      </w:r>
    </w:p>
    <w:p w14:paraId="6321B2F8" w14:textId="77777777" w:rsidR="00EC31E3" w:rsidRDefault="00000000">
      <w:pPr>
        <w:spacing w:before="80" w:after="80"/>
        <w:jc w:val="both"/>
      </w:pPr>
      <w:r>
        <w:rPr>
          <w:color w:val="1A1A2E"/>
        </w:rPr>
        <w:t>Sprint Bridge includes a built-in, real-time threat detection and mitigation layer to protect against brute-force attacks, credential stuffing, and unauthorized access attempts from known malicious sources.</w:t>
      </w:r>
    </w:p>
    <w:p w14:paraId="1EDBADEF" w14:textId="77777777" w:rsidR="00EC31E3" w:rsidRDefault="00000000">
      <w:pPr>
        <w:pStyle w:val="ListParagraph"/>
        <w:numPr>
          <w:ilvl w:val="0"/>
          <w:numId w:val="2"/>
        </w:numPr>
        <w:spacing w:before="40" w:after="40"/>
      </w:pPr>
      <w:r>
        <w:rPr>
          <w:b/>
          <w:bCs/>
          <w:color w:val="1A1A2E"/>
        </w:rPr>
        <w:t xml:space="preserve">Automated IP blocking: </w:t>
      </w:r>
      <w:r>
        <w:rPr>
          <w:color w:val="1A1A2E"/>
        </w:rPr>
        <w:t>IP addresses that exceed a configurable failed authentication threshold are automatically blocked, preventing sustained attack attempts without manual intervention.</w:t>
      </w:r>
    </w:p>
    <w:p w14:paraId="6CAC7B7E" w14:textId="77777777" w:rsidR="00EC31E3" w:rsidRDefault="00000000">
      <w:pPr>
        <w:pStyle w:val="ListParagraph"/>
        <w:numPr>
          <w:ilvl w:val="0"/>
          <w:numId w:val="2"/>
        </w:numPr>
        <w:spacing w:before="40" w:after="40"/>
      </w:pPr>
      <w:r>
        <w:rPr>
          <w:b/>
          <w:bCs/>
          <w:color w:val="1A1A2E"/>
        </w:rPr>
        <w:t xml:space="preserve">Configurable thresholds: </w:t>
      </w:r>
      <w:r>
        <w:rPr>
          <w:color w:val="1A1A2E"/>
        </w:rPr>
        <w:t xml:space="preserve">Administrators set the failure count that triggers blocking, allowing tuning based on the organization's risk tolerance and user </w:t>
      </w:r>
      <w:proofErr w:type="spellStart"/>
      <w:r>
        <w:rPr>
          <w:color w:val="1A1A2E"/>
        </w:rPr>
        <w:t>behaviour</w:t>
      </w:r>
      <w:proofErr w:type="spellEnd"/>
      <w:r>
        <w:rPr>
          <w:color w:val="1A1A2E"/>
        </w:rPr>
        <w:t xml:space="preserve"> patterns.</w:t>
      </w:r>
    </w:p>
    <w:p w14:paraId="300A9087" w14:textId="77777777" w:rsidR="00EC31E3" w:rsidRDefault="00000000">
      <w:pPr>
        <w:pStyle w:val="ListParagraph"/>
        <w:numPr>
          <w:ilvl w:val="0"/>
          <w:numId w:val="2"/>
        </w:numPr>
        <w:spacing w:before="40" w:after="40"/>
      </w:pPr>
      <w:r>
        <w:rPr>
          <w:b/>
          <w:bCs/>
          <w:color w:val="1A1A2E"/>
        </w:rPr>
        <w:t xml:space="preserve">Automatic record cleanup: </w:t>
      </w:r>
      <w:r>
        <w:rPr>
          <w:color w:val="1A1A2E"/>
        </w:rPr>
        <w:t>Blocked IP records are purged on a configurable schedule to prevent administrative accumulation and to accommodate dynamic IP environments.</w:t>
      </w:r>
    </w:p>
    <w:p w14:paraId="20575958" w14:textId="77777777" w:rsidR="00EC31E3" w:rsidRDefault="00000000">
      <w:pPr>
        <w:pStyle w:val="ListParagraph"/>
        <w:numPr>
          <w:ilvl w:val="0"/>
          <w:numId w:val="2"/>
        </w:numPr>
        <w:spacing w:before="40" w:after="40"/>
      </w:pPr>
      <w:r>
        <w:rPr>
          <w:b/>
          <w:bCs/>
          <w:color w:val="1A1A2E"/>
        </w:rPr>
        <w:t xml:space="preserve">Geographic access tracking: </w:t>
      </w:r>
      <w:r>
        <w:rPr>
          <w:color w:val="1A1A2E"/>
        </w:rPr>
        <w:t>Every authentication attempt is logged with its geographic origin. Administrators can identify and investigate access from unexpected regions before a breach occurs.</w:t>
      </w:r>
    </w:p>
    <w:p w14:paraId="520B57B0" w14:textId="77777777" w:rsidR="00EC31E3" w:rsidRDefault="00000000">
      <w:pPr>
        <w:pStyle w:val="ListParagraph"/>
        <w:numPr>
          <w:ilvl w:val="0"/>
          <w:numId w:val="2"/>
        </w:numPr>
        <w:spacing w:before="40" w:after="40"/>
      </w:pPr>
      <w:r>
        <w:rPr>
          <w:b/>
          <w:bCs/>
          <w:color w:val="1A1A2E"/>
        </w:rPr>
        <w:t xml:space="preserve">Security dashboard: </w:t>
      </w:r>
      <w:r>
        <w:rPr>
          <w:color w:val="1A1A2E"/>
        </w:rPr>
        <w:t>Blocked addresses, failed login trends, and access anomalies are surfaced in a real-time security monitoring dashboard — no external SIEM required for day-to-day visibility.</w:t>
      </w:r>
    </w:p>
    <w:p w14:paraId="182FE929" w14:textId="77777777" w:rsidR="00EC31E3" w:rsidRDefault="00000000">
      <w:pPr>
        <w:pStyle w:val="ListParagraph"/>
        <w:numPr>
          <w:ilvl w:val="0"/>
          <w:numId w:val="2"/>
        </w:numPr>
        <w:spacing w:before="40" w:after="40"/>
      </w:pPr>
      <w:r>
        <w:rPr>
          <w:b/>
          <w:bCs/>
          <w:color w:val="1A1A2E"/>
        </w:rPr>
        <w:t xml:space="preserve">API rate limiting: </w:t>
      </w:r>
      <w:r>
        <w:rPr>
          <w:color w:val="1A1A2E"/>
        </w:rPr>
        <w:t>Request rate limits are enforced at the API layer to protect against denial-of-service attacks and automated scraping.</w:t>
      </w:r>
    </w:p>
    <w:p w14:paraId="011084CB" w14:textId="77777777" w:rsidR="00EC31E3" w:rsidRDefault="00EC31E3">
      <w:pPr>
        <w:spacing w:before="200"/>
      </w:pPr>
    </w:p>
    <w:p w14:paraId="71C30A61" w14:textId="77777777" w:rsidR="00EC31E3" w:rsidRDefault="00000000">
      <w:r>
        <w:br w:type="page"/>
      </w:r>
    </w:p>
    <w:p w14:paraId="627212A4" w14:textId="77777777" w:rsidR="00EC31E3" w:rsidRDefault="00000000">
      <w:pPr>
        <w:pStyle w:val="Heading1"/>
        <w:pBdr>
          <w:bottom w:val="single" w:sz="6" w:space="6" w:color="2E75B6"/>
        </w:pBdr>
      </w:pPr>
      <w:r>
        <w:lastRenderedPageBreak/>
        <w:t>6. Audit Trails &amp; Activity Logging</w:t>
      </w:r>
    </w:p>
    <w:p w14:paraId="4D41F611" w14:textId="77777777" w:rsidR="00EC31E3" w:rsidRDefault="00000000">
      <w:pPr>
        <w:spacing w:before="80" w:after="80"/>
        <w:jc w:val="both"/>
      </w:pPr>
      <w:r>
        <w:rPr>
          <w:color w:val="1A1A2E"/>
        </w:rPr>
        <w:t>Comprehensive, tamper-evident audit logging is one of Sprint Bridge's core security capabilities. The audit system is designed to satisfy the evidence requirements of SOX, GDPR, SOC 2 Type II, and PCI DSS audits without requiring custom integration or additional tooling.</w:t>
      </w:r>
    </w:p>
    <w:p w14:paraId="7689D7DE" w14:textId="77777777" w:rsidR="00EC31E3" w:rsidRDefault="00EC31E3">
      <w:pPr>
        <w:spacing w:before="120"/>
      </w:pPr>
    </w:p>
    <w:p w14:paraId="212B5CDB" w14:textId="77777777" w:rsidR="00EC31E3" w:rsidRDefault="00000000">
      <w:pPr>
        <w:pStyle w:val="Heading2"/>
      </w:pPr>
      <w:r>
        <w:t>6.1 What Is Logged</w:t>
      </w:r>
    </w:p>
    <w:p w14:paraId="1796051E" w14:textId="77777777" w:rsidR="00EC31E3" w:rsidRDefault="00000000">
      <w:pPr>
        <w:spacing w:before="80" w:after="80"/>
        <w:jc w:val="both"/>
      </w:pPr>
      <w:r>
        <w:rPr>
          <w:color w:val="1A1A2E"/>
        </w:rPr>
        <w:t>Sprint Bridge captures a complete audit record across every significant system interaction:</w:t>
      </w:r>
    </w:p>
    <w:p w14:paraId="714F1548" w14:textId="77777777" w:rsidR="00EC31E3" w:rsidRDefault="00000000">
      <w:pPr>
        <w:pStyle w:val="ListParagraph"/>
        <w:numPr>
          <w:ilvl w:val="0"/>
          <w:numId w:val="2"/>
        </w:numPr>
        <w:spacing w:before="40" w:after="40"/>
      </w:pPr>
      <w:r>
        <w:rPr>
          <w:color w:val="1A1A2E"/>
        </w:rPr>
        <w:t>All user authentication events — successful logins, failures, logouts, and force-logouts — with timestamp, IP address, device context, and geographic origin.</w:t>
      </w:r>
    </w:p>
    <w:p w14:paraId="01F04CA4" w14:textId="77777777" w:rsidR="00EC31E3" w:rsidRDefault="00000000">
      <w:pPr>
        <w:pStyle w:val="ListParagraph"/>
        <w:numPr>
          <w:ilvl w:val="0"/>
          <w:numId w:val="2"/>
        </w:numPr>
        <w:spacing w:before="40" w:after="40"/>
      </w:pPr>
      <w:r>
        <w:rPr>
          <w:color w:val="1A1A2E"/>
        </w:rPr>
        <w:t>Every permission and role change, with before and after state and full user attribution.</w:t>
      </w:r>
    </w:p>
    <w:p w14:paraId="7AB8EF30" w14:textId="77777777" w:rsidR="00EC31E3" w:rsidRDefault="00000000">
      <w:pPr>
        <w:pStyle w:val="ListParagraph"/>
        <w:numPr>
          <w:ilvl w:val="0"/>
          <w:numId w:val="2"/>
        </w:numPr>
        <w:spacing w:before="40" w:after="40"/>
      </w:pPr>
      <w:r>
        <w:rPr>
          <w:color w:val="1A1A2E"/>
        </w:rPr>
        <w:t>All changes to agile work items, financial classifications, and configuration settings, captured at the field level.</w:t>
      </w:r>
    </w:p>
    <w:p w14:paraId="23BD0CD0" w14:textId="77777777" w:rsidR="00EC31E3" w:rsidRDefault="00000000">
      <w:pPr>
        <w:pStyle w:val="ListParagraph"/>
        <w:numPr>
          <w:ilvl w:val="0"/>
          <w:numId w:val="2"/>
        </w:numPr>
        <w:spacing w:before="40" w:after="40"/>
      </w:pPr>
      <w:r>
        <w:rPr>
          <w:color w:val="1A1A2E"/>
        </w:rPr>
        <w:t>File upload and download events, including access to sensitive attachments and documents.</w:t>
      </w:r>
    </w:p>
    <w:p w14:paraId="26A1423C" w14:textId="77777777" w:rsidR="00EC31E3" w:rsidRDefault="00000000">
      <w:pPr>
        <w:pStyle w:val="ListParagraph"/>
        <w:numPr>
          <w:ilvl w:val="0"/>
          <w:numId w:val="2"/>
        </w:numPr>
        <w:spacing w:before="40" w:after="40"/>
      </w:pPr>
      <w:r>
        <w:rPr>
          <w:color w:val="1A1A2E"/>
        </w:rPr>
        <w:t>Security events including IP blocks, session anomalies, and administrative actions.</w:t>
      </w:r>
    </w:p>
    <w:p w14:paraId="1376B3E4" w14:textId="77777777" w:rsidR="00EC31E3" w:rsidRDefault="00000000">
      <w:pPr>
        <w:pStyle w:val="ListParagraph"/>
        <w:numPr>
          <w:ilvl w:val="0"/>
          <w:numId w:val="2"/>
        </w:numPr>
        <w:spacing w:before="40" w:after="40"/>
      </w:pPr>
      <w:r>
        <w:rPr>
          <w:color w:val="1A1A2E"/>
        </w:rPr>
        <w:t xml:space="preserve">API usage patterns for operational analytics and detection of abnormal access </w:t>
      </w:r>
      <w:proofErr w:type="spellStart"/>
      <w:r>
        <w:rPr>
          <w:color w:val="1A1A2E"/>
        </w:rPr>
        <w:t>behaviour</w:t>
      </w:r>
      <w:proofErr w:type="spellEnd"/>
      <w:r>
        <w:rPr>
          <w:color w:val="1A1A2E"/>
        </w:rPr>
        <w:t>.</w:t>
      </w:r>
    </w:p>
    <w:p w14:paraId="4BDFFF3B" w14:textId="77777777" w:rsidR="00EC31E3" w:rsidRDefault="00EC31E3">
      <w:pPr>
        <w:spacing w:before="120"/>
      </w:pPr>
    </w:p>
    <w:p w14:paraId="6B4F4642" w14:textId="77777777" w:rsidR="00EC31E3" w:rsidRDefault="00000000">
      <w:pPr>
        <w:pStyle w:val="Heading2"/>
      </w:pPr>
      <w:r>
        <w:t>6.2 Cryptographic Audit Integrity</w:t>
      </w:r>
    </w:p>
    <w:p w14:paraId="5B474B49" w14:textId="77777777" w:rsidR="00EC31E3" w:rsidRDefault="00000000">
      <w:pPr>
        <w:spacing w:before="80" w:after="80"/>
        <w:jc w:val="both"/>
      </w:pPr>
      <w:r>
        <w:rPr>
          <w:color w:val="1A1A2E"/>
        </w:rPr>
        <w:t>Audit log records in Sprint Bridge are protected with cryptographic integrity checks. This ensures that log data cannot be silently modified or deleted after the fact — a critical requirement for regulatory frameworks that mandate the preservation of unaltered audit evidence.</w:t>
      </w:r>
    </w:p>
    <w:p w14:paraId="59200C5B" w14:textId="77777777" w:rsidR="00EC31E3" w:rsidRDefault="00EC31E3">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C31E3" w14:paraId="25DDD282" w14:textId="77777777">
        <w:tblPrEx>
          <w:tblCellMar>
            <w:top w:w="0" w:type="dxa"/>
            <w:bottom w:w="0" w:type="dxa"/>
          </w:tblCellMar>
        </w:tblPrEx>
        <w:tc>
          <w:tcPr>
            <w:tcW w:w="9360" w:type="dxa"/>
            <w:tcBorders>
              <w:top w:val="single" w:sz="1" w:space="0" w:color="C8D6E8"/>
              <w:left w:val="single" w:sz="1" w:space="0" w:color="C8D6E8"/>
              <w:bottom w:val="single" w:sz="1" w:space="0" w:color="C8D6E8"/>
              <w:right w:val="single" w:sz="1" w:space="0" w:color="C8D6E8"/>
            </w:tcBorders>
            <w:shd w:val="clear" w:color="auto" w:fill="F2F6FB"/>
            <w:tcMar>
              <w:top w:w="160" w:type="dxa"/>
              <w:left w:w="200" w:type="dxa"/>
              <w:bottom w:w="160" w:type="dxa"/>
              <w:right w:w="200" w:type="dxa"/>
            </w:tcMar>
          </w:tcPr>
          <w:p w14:paraId="3D86DAEC" w14:textId="77777777" w:rsidR="00EC31E3" w:rsidRDefault="00000000">
            <w:pPr>
              <w:spacing w:after="60"/>
            </w:pPr>
            <w:r>
              <w:rPr>
                <w:b/>
                <w:bCs/>
                <w:color w:val="1B4F8A"/>
              </w:rPr>
              <w:t>Audit-Ready by Default</w:t>
            </w:r>
          </w:p>
          <w:p w14:paraId="79895DBB" w14:textId="77777777" w:rsidR="00EC31E3" w:rsidRDefault="00000000">
            <w:pPr>
              <w:jc w:val="both"/>
            </w:pPr>
            <w:r>
              <w:rPr>
                <w:color w:val="1A1A2E"/>
                <w:sz w:val="21"/>
                <w:szCs w:val="21"/>
              </w:rPr>
              <w:t>Sprint Bridge's audit system requires no configuration to produce compliance-ready evidence. All significant events are captured automatically from day one, providing an immediately available audit trail for internal review, external auditors, and regulatory bodies.</w:t>
            </w:r>
          </w:p>
        </w:tc>
      </w:tr>
    </w:tbl>
    <w:p w14:paraId="49E19D91" w14:textId="77777777" w:rsidR="00EC31E3" w:rsidRDefault="00EC31E3">
      <w:pPr>
        <w:spacing w:before="120"/>
      </w:pPr>
    </w:p>
    <w:p w14:paraId="6F66A36E" w14:textId="77777777" w:rsidR="00EC31E3" w:rsidRDefault="00000000">
      <w:pPr>
        <w:pStyle w:val="Heading2"/>
      </w:pPr>
      <w:r>
        <w:t>6.3 Compliance Reporting</w:t>
      </w:r>
    </w:p>
    <w:p w14:paraId="4F98B868" w14:textId="77777777" w:rsidR="00EC31E3" w:rsidRDefault="00000000">
      <w:pPr>
        <w:spacing w:before="80" w:after="80"/>
        <w:jc w:val="both"/>
      </w:pPr>
      <w:r>
        <w:rPr>
          <w:color w:val="1A1A2E"/>
        </w:rPr>
        <w:t>Administrators and compliance officers can generate structured audit reports through the platform's reporting interface. Reports cover user activity summaries, security event timelines, financial classification change logs, and system health records — all exportable in standard formats for audit submission.</w:t>
      </w:r>
    </w:p>
    <w:p w14:paraId="30E75AF4" w14:textId="77777777" w:rsidR="00EC31E3" w:rsidRDefault="00EC31E3">
      <w:pPr>
        <w:spacing w:before="200"/>
      </w:pPr>
    </w:p>
    <w:p w14:paraId="36990F12" w14:textId="77777777" w:rsidR="00EC31E3" w:rsidRDefault="00000000">
      <w:pPr>
        <w:pStyle w:val="Heading1"/>
        <w:pBdr>
          <w:bottom w:val="single" w:sz="6" w:space="6" w:color="2E75B6"/>
        </w:pBdr>
      </w:pPr>
      <w:r>
        <w:t>7. Data Protection &amp; Encryption</w:t>
      </w:r>
    </w:p>
    <w:p w14:paraId="28E3E382" w14:textId="77777777" w:rsidR="00EC31E3" w:rsidRDefault="00000000">
      <w:pPr>
        <w:spacing w:before="80" w:after="80"/>
        <w:jc w:val="both"/>
      </w:pPr>
      <w:r>
        <w:rPr>
          <w:color w:val="1A1A2E"/>
        </w:rPr>
        <w:lastRenderedPageBreak/>
        <w:t>Sprint Bridge enforces encryption at every stage of the data lifecycle, protecting sensitive organizational and personal information whether it is in transit between systems or at rest in storage.</w:t>
      </w:r>
    </w:p>
    <w:p w14:paraId="499BAE05" w14:textId="77777777" w:rsidR="00EC31E3" w:rsidRDefault="00EC31E3">
      <w:pPr>
        <w:spacing w:before="120"/>
      </w:pPr>
    </w:p>
    <w:p w14:paraId="746FCDB4" w14:textId="77777777" w:rsidR="00EC31E3" w:rsidRDefault="00000000">
      <w:pPr>
        <w:pStyle w:val="Heading2"/>
      </w:pPr>
      <w:r>
        <w:t>7.1 Encryption in Transit</w:t>
      </w:r>
    </w:p>
    <w:p w14:paraId="00337512" w14:textId="77777777" w:rsidR="00EC31E3" w:rsidRDefault="00000000">
      <w:pPr>
        <w:pStyle w:val="ListParagraph"/>
        <w:numPr>
          <w:ilvl w:val="0"/>
          <w:numId w:val="2"/>
        </w:numPr>
        <w:spacing w:before="40" w:after="40"/>
      </w:pPr>
      <w:r>
        <w:rPr>
          <w:color w:val="1A1A2E"/>
        </w:rPr>
        <w:t>All communication between clients and the Sprint Bridge platform is secured using industry-standard Transport Layer Security (TLS). Unencrypted connections are not permitted.</w:t>
      </w:r>
    </w:p>
    <w:p w14:paraId="511EDE9F" w14:textId="77777777" w:rsidR="00EC31E3" w:rsidRDefault="00000000">
      <w:pPr>
        <w:pStyle w:val="ListParagraph"/>
        <w:numPr>
          <w:ilvl w:val="0"/>
          <w:numId w:val="2"/>
        </w:numPr>
        <w:spacing w:before="40" w:after="40"/>
      </w:pPr>
      <w:r>
        <w:rPr>
          <w:color w:val="1A1A2E"/>
        </w:rPr>
        <w:t>Connections to third-party integrations — project management tools, calendar services, and AI providers — are made exclusively over encrypted channels with certificate validation enforced.</w:t>
      </w:r>
    </w:p>
    <w:p w14:paraId="284F649D" w14:textId="77777777" w:rsidR="00EC31E3" w:rsidRDefault="00EC31E3">
      <w:pPr>
        <w:spacing w:before="120"/>
      </w:pPr>
    </w:p>
    <w:p w14:paraId="08D39DA6" w14:textId="77777777" w:rsidR="00EC31E3" w:rsidRDefault="00000000">
      <w:pPr>
        <w:pStyle w:val="Heading2"/>
      </w:pPr>
      <w:r>
        <w:t>7.2 Encryption at Rest</w:t>
      </w:r>
    </w:p>
    <w:p w14:paraId="3953AF23" w14:textId="77777777" w:rsidR="00EC31E3" w:rsidRDefault="00000000">
      <w:pPr>
        <w:pStyle w:val="ListParagraph"/>
        <w:numPr>
          <w:ilvl w:val="0"/>
          <w:numId w:val="2"/>
        </w:numPr>
        <w:spacing w:before="40" w:after="40"/>
      </w:pPr>
      <w:r>
        <w:rPr>
          <w:color w:val="1A1A2E"/>
        </w:rPr>
        <w:t>Stored organizational data is encrypted at the storage layer in all production deployments.</w:t>
      </w:r>
    </w:p>
    <w:p w14:paraId="5A72B6A4" w14:textId="77777777" w:rsidR="00EC31E3" w:rsidRDefault="00000000">
      <w:pPr>
        <w:pStyle w:val="ListParagraph"/>
        <w:numPr>
          <w:ilvl w:val="0"/>
          <w:numId w:val="2"/>
        </w:numPr>
        <w:spacing w:before="40" w:after="40"/>
      </w:pPr>
      <w:r>
        <w:rPr>
          <w:color w:val="1A1A2E"/>
        </w:rPr>
        <w:t>Database backups are compressed and encrypted before storage. Backup files cannot be read without the appropriate decryption credentials, preventing exposure from backup media loss.</w:t>
      </w:r>
    </w:p>
    <w:p w14:paraId="7DD5A51D" w14:textId="77777777" w:rsidR="00EC31E3" w:rsidRDefault="00000000">
      <w:pPr>
        <w:pStyle w:val="ListParagraph"/>
        <w:numPr>
          <w:ilvl w:val="0"/>
          <w:numId w:val="2"/>
        </w:numPr>
        <w:spacing w:before="40" w:after="40"/>
      </w:pPr>
      <w:r>
        <w:rPr>
          <w:color w:val="1A1A2E"/>
        </w:rPr>
        <w:t>Session and cache data is password-protected and never exposed to external network interfaces.</w:t>
      </w:r>
    </w:p>
    <w:p w14:paraId="082C4D30" w14:textId="77777777" w:rsidR="00EC31E3" w:rsidRDefault="00EC31E3">
      <w:pPr>
        <w:spacing w:before="120"/>
      </w:pPr>
    </w:p>
    <w:p w14:paraId="2699E376" w14:textId="77777777" w:rsidR="00EC31E3" w:rsidRDefault="00000000">
      <w:pPr>
        <w:pStyle w:val="Heading2"/>
      </w:pPr>
      <w:r>
        <w:t>7.3 Credential &amp; Secret Handling</w:t>
      </w:r>
    </w:p>
    <w:p w14:paraId="78B7E21B" w14:textId="77777777" w:rsidR="00EC31E3" w:rsidRDefault="00000000">
      <w:pPr>
        <w:pStyle w:val="ListParagraph"/>
        <w:numPr>
          <w:ilvl w:val="0"/>
          <w:numId w:val="2"/>
        </w:numPr>
        <w:spacing w:before="40" w:after="40"/>
      </w:pPr>
      <w:r>
        <w:rPr>
          <w:color w:val="1A1A2E"/>
        </w:rPr>
        <w:t>Passwords are never stored in plaintext. An industry-standard adaptive hashing algorithm with unique per-user salts is applied to every credential.</w:t>
      </w:r>
    </w:p>
    <w:p w14:paraId="416A2782" w14:textId="77777777" w:rsidR="00EC31E3" w:rsidRDefault="00000000">
      <w:pPr>
        <w:pStyle w:val="ListParagraph"/>
        <w:numPr>
          <w:ilvl w:val="0"/>
          <w:numId w:val="2"/>
        </w:numPr>
        <w:spacing w:before="40" w:after="40"/>
      </w:pPr>
      <w:r>
        <w:rPr>
          <w:color w:val="1A1A2E"/>
        </w:rPr>
        <w:t>Integration API keys and secrets are stored in encrypted form. Once entered, they are never returned to the client in readable form.</w:t>
      </w:r>
    </w:p>
    <w:p w14:paraId="207A9041" w14:textId="77777777" w:rsidR="00EC31E3" w:rsidRDefault="00000000">
      <w:pPr>
        <w:pStyle w:val="ListParagraph"/>
        <w:numPr>
          <w:ilvl w:val="0"/>
          <w:numId w:val="2"/>
        </w:numPr>
        <w:spacing w:before="40" w:after="40"/>
      </w:pPr>
      <w:r>
        <w:rPr>
          <w:color w:val="1A1A2E"/>
        </w:rPr>
        <w:t>All sensitive configuration values — database credentials, signing keys, integration tokens — are provided via secure runtime configuration and are never present in application source code.</w:t>
      </w:r>
    </w:p>
    <w:p w14:paraId="18FCC1EA" w14:textId="77777777" w:rsidR="00EC31E3" w:rsidRDefault="00EC31E3">
      <w:pPr>
        <w:spacing w:before="200"/>
      </w:pPr>
    </w:p>
    <w:p w14:paraId="33A7FF9B" w14:textId="77777777" w:rsidR="00EC31E3" w:rsidRDefault="00000000">
      <w:r>
        <w:br w:type="page"/>
      </w:r>
    </w:p>
    <w:p w14:paraId="4F05AFBB" w14:textId="77777777" w:rsidR="00EC31E3" w:rsidRDefault="00000000">
      <w:pPr>
        <w:pStyle w:val="Heading1"/>
        <w:pBdr>
          <w:bottom w:val="single" w:sz="6" w:space="6" w:color="2E75B6"/>
        </w:pBdr>
      </w:pPr>
      <w:r>
        <w:lastRenderedPageBreak/>
        <w:t>8. Multi-Tenant Data Isolation</w:t>
      </w:r>
    </w:p>
    <w:p w14:paraId="28336B48" w14:textId="77777777" w:rsidR="00EC31E3" w:rsidRDefault="00000000">
      <w:pPr>
        <w:spacing w:before="80" w:after="80"/>
        <w:jc w:val="both"/>
      </w:pPr>
      <w:r>
        <w:rPr>
          <w:color w:val="1A1A2E"/>
        </w:rPr>
        <w:t>Sprint Bridge Enterprise is architected as a true multi-tenant platform. Tenant isolation is enforced at the data layer — not solely at the application logic layer — providing a structural, defense-in-depth guarantee against cross-organizational data exposure.</w:t>
      </w:r>
    </w:p>
    <w:p w14:paraId="57A77488" w14:textId="77777777" w:rsidR="00EC31E3" w:rsidRDefault="00EC31E3">
      <w:pPr>
        <w:spacing w:before="120"/>
      </w:pPr>
    </w:p>
    <w:p w14:paraId="4E2E7B45" w14:textId="77777777" w:rsidR="00EC31E3" w:rsidRDefault="00000000">
      <w:pPr>
        <w:pStyle w:val="ListParagraph"/>
        <w:numPr>
          <w:ilvl w:val="0"/>
          <w:numId w:val="2"/>
        </w:numPr>
        <w:spacing w:before="40" w:after="40"/>
      </w:pPr>
      <w:r>
        <w:rPr>
          <w:color w:val="1A1A2E"/>
        </w:rPr>
        <w:t>Every data record is associated with an organizational identifier. This identifier is validated on every read and write operation, independent of session state or application-layer logic.</w:t>
      </w:r>
    </w:p>
    <w:p w14:paraId="683BD530" w14:textId="77777777" w:rsidR="00EC31E3" w:rsidRDefault="00000000">
      <w:pPr>
        <w:pStyle w:val="ListParagraph"/>
        <w:numPr>
          <w:ilvl w:val="0"/>
          <w:numId w:val="2"/>
        </w:numPr>
        <w:spacing w:before="40" w:after="40"/>
      </w:pPr>
      <w:r>
        <w:rPr>
          <w:color w:val="1A1A2E"/>
        </w:rPr>
        <w:t>API request handling validates that the authenticated user's organizational scope matches the requested resource's organizational scope before any data is returned.</w:t>
      </w:r>
    </w:p>
    <w:p w14:paraId="5A6E8B72" w14:textId="77777777" w:rsidR="00EC31E3" w:rsidRDefault="00000000">
      <w:pPr>
        <w:pStyle w:val="ListParagraph"/>
        <w:numPr>
          <w:ilvl w:val="0"/>
          <w:numId w:val="2"/>
        </w:numPr>
        <w:spacing w:before="40" w:after="40"/>
      </w:pPr>
      <w:r>
        <w:rPr>
          <w:color w:val="1A1A2E"/>
        </w:rPr>
        <w:t>Users who belong to multiple organizations can only access one organization's data within any given session context. Switching organizational context requires explicit re-authentication of scope.</w:t>
      </w:r>
    </w:p>
    <w:p w14:paraId="5DE87BAA" w14:textId="77777777" w:rsidR="00EC31E3" w:rsidRDefault="00000000">
      <w:pPr>
        <w:pStyle w:val="ListParagraph"/>
        <w:numPr>
          <w:ilvl w:val="0"/>
          <w:numId w:val="2"/>
        </w:numPr>
        <w:spacing w:before="40" w:after="40"/>
      </w:pPr>
      <w:r>
        <w:rPr>
          <w:color w:val="1A1A2E"/>
        </w:rPr>
        <w:t>Organization-specific settings, integrations, and configurations are fully isolated — configuration from one tenant cannot leak into or affect another tenant's environment.</w:t>
      </w:r>
    </w:p>
    <w:p w14:paraId="3ADD0E23" w14:textId="77777777" w:rsidR="00EC31E3" w:rsidRDefault="00000000">
      <w:pPr>
        <w:pStyle w:val="ListParagraph"/>
        <w:numPr>
          <w:ilvl w:val="0"/>
          <w:numId w:val="2"/>
        </w:numPr>
        <w:spacing w:before="40" w:after="40"/>
      </w:pPr>
      <w:r>
        <w:rPr>
          <w:color w:val="1A1A2E"/>
        </w:rPr>
        <w:t>Resource usage limits are enforced per organization, preventing one tenant's activity from affecting the performance or availability experienced by others.</w:t>
      </w:r>
    </w:p>
    <w:p w14:paraId="4D742556" w14:textId="77777777" w:rsidR="00EC31E3" w:rsidRDefault="00EC31E3">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C31E3" w14:paraId="0F308B96" w14:textId="77777777">
        <w:tblPrEx>
          <w:tblCellMar>
            <w:top w:w="0" w:type="dxa"/>
            <w:bottom w:w="0" w:type="dxa"/>
          </w:tblCellMar>
        </w:tblPrEx>
        <w:tc>
          <w:tcPr>
            <w:tcW w:w="9360" w:type="dxa"/>
            <w:tcBorders>
              <w:top w:val="single" w:sz="1" w:space="0" w:color="C8D6E8"/>
              <w:left w:val="single" w:sz="1" w:space="0" w:color="C8D6E8"/>
              <w:bottom w:val="single" w:sz="1" w:space="0" w:color="C8D6E8"/>
              <w:right w:val="single" w:sz="1" w:space="0" w:color="C8D6E8"/>
            </w:tcBorders>
            <w:shd w:val="clear" w:color="auto" w:fill="F2F6FB"/>
            <w:tcMar>
              <w:top w:w="160" w:type="dxa"/>
              <w:left w:w="200" w:type="dxa"/>
              <w:bottom w:w="160" w:type="dxa"/>
              <w:right w:w="200" w:type="dxa"/>
            </w:tcMar>
          </w:tcPr>
          <w:p w14:paraId="7BC93F29" w14:textId="77777777" w:rsidR="00EC31E3" w:rsidRDefault="00000000">
            <w:pPr>
              <w:spacing w:after="60"/>
            </w:pPr>
            <w:r>
              <w:rPr>
                <w:b/>
                <w:bCs/>
                <w:color w:val="1B4F8A"/>
              </w:rPr>
              <w:t>Zero Cross-Tenant Data Exposure</w:t>
            </w:r>
          </w:p>
          <w:p w14:paraId="72890FD0" w14:textId="77777777" w:rsidR="00EC31E3" w:rsidRDefault="00000000">
            <w:pPr>
              <w:jc w:val="both"/>
            </w:pPr>
            <w:r>
              <w:rPr>
                <w:color w:val="1A1A2E"/>
                <w:sz w:val="21"/>
                <w:szCs w:val="21"/>
              </w:rPr>
              <w:t>A user authenticated to Organization A can never access, enumerate, or influence the data of Organization B — regardless of their permission level within their own organization. This guarantee is structural, not policy-dependent.</w:t>
            </w:r>
          </w:p>
        </w:tc>
      </w:tr>
    </w:tbl>
    <w:p w14:paraId="5467B80E" w14:textId="77777777" w:rsidR="00EC31E3" w:rsidRDefault="00EC31E3">
      <w:pPr>
        <w:spacing w:before="200"/>
      </w:pPr>
    </w:p>
    <w:p w14:paraId="2A0CE4A1" w14:textId="77777777" w:rsidR="00EC31E3" w:rsidRDefault="00000000">
      <w:pPr>
        <w:pStyle w:val="Heading1"/>
        <w:pBdr>
          <w:bottom w:val="single" w:sz="6" w:space="6" w:color="2E75B6"/>
        </w:pBdr>
      </w:pPr>
      <w:r>
        <w:t>9. File &amp; Attachment Security</w:t>
      </w:r>
    </w:p>
    <w:p w14:paraId="4BABAB69" w14:textId="77777777" w:rsidR="00EC31E3" w:rsidRDefault="00000000">
      <w:pPr>
        <w:spacing w:before="80" w:after="80"/>
        <w:jc w:val="both"/>
      </w:pPr>
      <w:r>
        <w:rPr>
          <w:color w:val="1A1A2E"/>
        </w:rPr>
        <w:t>File uploads represent a common attack vector in enterprise applications. Sprint Bridge applies multiple independent layers of protection to every file that enters the system.</w:t>
      </w:r>
    </w:p>
    <w:p w14:paraId="13DBBA75" w14:textId="77777777" w:rsidR="00EC31E3" w:rsidRDefault="00000000">
      <w:pPr>
        <w:pStyle w:val="ListParagraph"/>
        <w:numPr>
          <w:ilvl w:val="0"/>
          <w:numId w:val="2"/>
        </w:numPr>
        <w:spacing w:before="40" w:after="40"/>
      </w:pPr>
      <w:r>
        <w:rPr>
          <w:b/>
          <w:bCs/>
          <w:color w:val="1A1A2E"/>
        </w:rPr>
        <w:t xml:space="preserve">File type validation: </w:t>
      </w:r>
      <w:r>
        <w:rPr>
          <w:color w:val="1A1A2E"/>
        </w:rPr>
        <w:t>Uploaded files are validated against permitted file types. Mismatches between declared and actual file types are rejected before storage.</w:t>
      </w:r>
    </w:p>
    <w:p w14:paraId="6F8CCFC6" w14:textId="77777777" w:rsidR="00EC31E3" w:rsidRDefault="00000000">
      <w:pPr>
        <w:pStyle w:val="ListParagraph"/>
        <w:numPr>
          <w:ilvl w:val="0"/>
          <w:numId w:val="2"/>
        </w:numPr>
        <w:spacing w:before="40" w:after="40"/>
      </w:pPr>
      <w:r>
        <w:rPr>
          <w:b/>
          <w:bCs/>
          <w:color w:val="1A1A2E"/>
        </w:rPr>
        <w:t xml:space="preserve">Size enforcement: </w:t>
      </w:r>
      <w:r>
        <w:rPr>
          <w:color w:val="1A1A2E"/>
        </w:rPr>
        <w:t>Configurable maximum file sizes are enforced per upload and per entity type, preventing resource abuse.</w:t>
      </w:r>
    </w:p>
    <w:p w14:paraId="080BE4C1" w14:textId="77777777" w:rsidR="00EC31E3" w:rsidRDefault="00000000">
      <w:pPr>
        <w:pStyle w:val="ListParagraph"/>
        <w:numPr>
          <w:ilvl w:val="0"/>
          <w:numId w:val="2"/>
        </w:numPr>
        <w:spacing w:before="40" w:after="40"/>
      </w:pPr>
      <w:r>
        <w:rPr>
          <w:b/>
          <w:bCs/>
          <w:color w:val="1A1A2E"/>
        </w:rPr>
        <w:t xml:space="preserve">Malware scanning: </w:t>
      </w:r>
      <w:r>
        <w:rPr>
          <w:color w:val="1A1A2E"/>
        </w:rPr>
        <w:t>All uploaded files are scanned for malicious content. Files that fail scanning are quarantined and not made available for download.</w:t>
      </w:r>
    </w:p>
    <w:p w14:paraId="4B538379" w14:textId="77777777" w:rsidR="00EC31E3" w:rsidRDefault="00000000">
      <w:pPr>
        <w:pStyle w:val="ListParagraph"/>
        <w:numPr>
          <w:ilvl w:val="0"/>
          <w:numId w:val="2"/>
        </w:numPr>
        <w:spacing w:before="40" w:after="40"/>
      </w:pPr>
      <w:r>
        <w:rPr>
          <w:b/>
          <w:bCs/>
          <w:color w:val="1A1A2E"/>
        </w:rPr>
        <w:t xml:space="preserve">Scan record retention: </w:t>
      </w:r>
      <w:r>
        <w:rPr>
          <w:color w:val="1A1A2E"/>
        </w:rPr>
        <w:t>The result of every file scan is retained in the audit log, providing a verifiable history of the security posture of all stored files.</w:t>
      </w:r>
    </w:p>
    <w:p w14:paraId="5DE79E1C" w14:textId="77777777" w:rsidR="00EC31E3" w:rsidRDefault="00000000">
      <w:pPr>
        <w:pStyle w:val="ListParagraph"/>
        <w:numPr>
          <w:ilvl w:val="0"/>
          <w:numId w:val="2"/>
        </w:numPr>
        <w:spacing w:before="40" w:after="40"/>
      </w:pPr>
      <w:r>
        <w:rPr>
          <w:b/>
          <w:bCs/>
          <w:color w:val="1A1A2E"/>
        </w:rPr>
        <w:t xml:space="preserve">Automatic cleanup: </w:t>
      </w:r>
      <w:r>
        <w:rPr>
          <w:color w:val="1A1A2E"/>
        </w:rPr>
        <w:t>When a parent entity — a story, epic, or feature — is deleted, associated attachments are automatically removed from storage. Orphaned sensitive files do not accumulate.</w:t>
      </w:r>
    </w:p>
    <w:p w14:paraId="19A97A41" w14:textId="77777777" w:rsidR="00EC31E3" w:rsidRDefault="00000000">
      <w:pPr>
        <w:pStyle w:val="ListParagraph"/>
        <w:numPr>
          <w:ilvl w:val="0"/>
          <w:numId w:val="2"/>
        </w:numPr>
        <w:spacing w:before="40" w:after="40"/>
      </w:pPr>
      <w:r>
        <w:rPr>
          <w:b/>
          <w:bCs/>
          <w:color w:val="1A1A2E"/>
        </w:rPr>
        <w:t xml:space="preserve">Access logging: </w:t>
      </w:r>
      <w:r>
        <w:rPr>
          <w:color w:val="1A1A2E"/>
        </w:rPr>
        <w:t>All file access events are captured in the audit trail, including who downloaded a file, when, and from which IP address.</w:t>
      </w:r>
    </w:p>
    <w:p w14:paraId="15C3E08A" w14:textId="77777777" w:rsidR="00EC31E3" w:rsidRDefault="00000000">
      <w:pPr>
        <w:pStyle w:val="ListParagraph"/>
        <w:numPr>
          <w:ilvl w:val="0"/>
          <w:numId w:val="2"/>
        </w:numPr>
        <w:spacing w:before="40" w:after="40"/>
      </w:pPr>
      <w:r>
        <w:rPr>
          <w:b/>
          <w:bCs/>
          <w:color w:val="1A1A2E"/>
        </w:rPr>
        <w:t xml:space="preserve">External file verification: </w:t>
      </w:r>
      <w:r>
        <w:rPr>
          <w:color w:val="1A1A2E"/>
        </w:rPr>
        <w:t>Links to external file systems undergo security verification before being accepted and stored as references within the platform.</w:t>
      </w:r>
    </w:p>
    <w:p w14:paraId="1689C835" w14:textId="77777777" w:rsidR="00EC31E3" w:rsidRDefault="00000000">
      <w:pPr>
        <w:pStyle w:val="ListParagraph"/>
        <w:numPr>
          <w:ilvl w:val="0"/>
          <w:numId w:val="2"/>
        </w:numPr>
        <w:spacing w:before="40" w:after="40"/>
      </w:pPr>
      <w:r>
        <w:rPr>
          <w:b/>
          <w:bCs/>
          <w:color w:val="1A1A2E"/>
        </w:rPr>
        <w:lastRenderedPageBreak/>
        <w:t xml:space="preserve">Flexible storage backends: </w:t>
      </w:r>
      <w:r>
        <w:rPr>
          <w:color w:val="1A1A2E"/>
        </w:rPr>
        <w:t>Sprint Bridge supports major cloud storage providers as well as on-premises storage, each configured to enforce access controls consistent with the platform's security model.</w:t>
      </w:r>
    </w:p>
    <w:p w14:paraId="3ED243F7" w14:textId="77777777" w:rsidR="00EC31E3" w:rsidRDefault="00EC31E3">
      <w:pPr>
        <w:spacing w:before="200"/>
      </w:pPr>
    </w:p>
    <w:p w14:paraId="238622BD" w14:textId="77777777" w:rsidR="00EC31E3" w:rsidRDefault="00000000">
      <w:pPr>
        <w:pStyle w:val="Heading1"/>
        <w:pBdr>
          <w:bottom w:val="single" w:sz="6" w:space="6" w:color="2E75B6"/>
        </w:pBdr>
      </w:pPr>
      <w:r>
        <w:t>10. External Stakeholder Access Controls</w:t>
      </w:r>
    </w:p>
    <w:p w14:paraId="6BEF757D" w14:textId="77777777" w:rsidR="00EC31E3" w:rsidRDefault="00000000">
      <w:pPr>
        <w:spacing w:before="80" w:after="80"/>
        <w:jc w:val="both"/>
      </w:pPr>
      <w:r>
        <w:rPr>
          <w:color w:val="1A1A2E"/>
        </w:rPr>
        <w:t>Sprint Bridge provides a secure, purpose-built portal for external participants — clients, vendors, and User Acceptance Testing (UAT) reviewers — that enforces strict data isolation and minimizes their exposure to internal platform functionality.</w:t>
      </w:r>
    </w:p>
    <w:p w14:paraId="5C7B2B87" w14:textId="77777777" w:rsidR="00EC31E3" w:rsidRDefault="00000000">
      <w:pPr>
        <w:pStyle w:val="ListParagraph"/>
        <w:numPr>
          <w:ilvl w:val="0"/>
          <w:numId w:val="2"/>
        </w:numPr>
        <w:spacing w:before="40" w:after="40"/>
      </w:pPr>
      <w:r>
        <w:rPr>
          <w:b/>
          <w:bCs/>
          <w:color w:val="1A1A2E"/>
        </w:rPr>
        <w:t xml:space="preserve">Entity-scoped permissions: </w:t>
      </w:r>
      <w:r>
        <w:rPr>
          <w:color w:val="1A1A2E"/>
        </w:rPr>
        <w:t>External stakeholders are granted access only to the specific projects, sprints, or work items relevant to their engagement. They cannot enumerate or navigate to other organizational data.</w:t>
      </w:r>
    </w:p>
    <w:p w14:paraId="7C41C244" w14:textId="77777777" w:rsidR="00EC31E3" w:rsidRDefault="00000000">
      <w:pPr>
        <w:pStyle w:val="ListParagraph"/>
        <w:numPr>
          <w:ilvl w:val="0"/>
          <w:numId w:val="2"/>
        </w:numPr>
        <w:spacing w:before="40" w:after="40"/>
      </w:pPr>
      <w:r>
        <w:rPr>
          <w:b/>
          <w:bCs/>
          <w:color w:val="1A1A2E"/>
        </w:rPr>
        <w:t xml:space="preserve">Time-limited sessions: </w:t>
      </w:r>
      <w:r>
        <w:rPr>
          <w:color w:val="1A1A2E"/>
        </w:rPr>
        <w:t>Stakeholder sessions expire on a shorter configurable timeout than internal users, reducing the risk window of unattended external access.</w:t>
      </w:r>
    </w:p>
    <w:p w14:paraId="01C69DF2" w14:textId="77777777" w:rsidR="00EC31E3" w:rsidRDefault="00000000">
      <w:pPr>
        <w:pStyle w:val="ListParagraph"/>
        <w:numPr>
          <w:ilvl w:val="0"/>
          <w:numId w:val="2"/>
        </w:numPr>
        <w:spacing w:before="40" w:after="40"/>
      </w:pPr>
      <w:r>
        <w:rPr>
          <w:b/>
          <w:bCs/>
          <w:color w:val="1A1A2E"/>
        </w:rPr>
        <w:t xml:space="preserve">Dedicated portal: </w:t>
      </w:r>
      <w:r>
        <w:rPr>
          <w:color w:val="1A1A2E"/>
        </w:rPr>
        <w:t>The external stakeholder interface is a separate, restricted environment that does not expose any internal administrative functions, configuration settings, or unreleased data.</w:t>
      </w:r>
    </w:p>
    <w:p w14:paraId="3BA60E7A" w14:textId="77777777" w:rsidR="00EC31E3" w:rsidRDefault="00000000">
      <w:pPr>
        <w:pStyle w:val="ListParagraph"/>
        <w:numPr>
          <w:ilvl w:val="0"/>
          <w:numId w:val="2"/>
        </w:numPr>
        <w:spacing w:before="40" w:after="40"/>
      </w:pPr>
      <w:r>
        <w:rPr>
          <w:b/>
          <w:bCs/>
          <w:color w:val="1A1A2E"/>
        </w:rPr>
        <w:t xml:space="preserve">UAT access lifecycle: </w:t>
      </w:r>
      <w:r>
        <w:rPr>
          <w:color w:val="1A1A2E"/>
        </w:rPr>
        <w:t>UAT participants receive scoped access tied to a specific release cycle. Access is automatically scoped to the relevant deployment version and expires at cycle completion.</w:t>
      </w:r>
    </w:p>
    <w:p w14:paraId="6C8635B0" w14:textId="77777777" w:rsidR="00EC31E3" w:rsidRDefault="00000000">
      <w:pPr>
        <w:pStyle w:val="ListParagraph"/>
        <w:numPr>
          <w:ilvl w:val="0"/>
          <w:numId w:val="2"/>
        </w:numPr>
        <w:spacing w:before="40" w:after="40"/>
      </w:pPr>
      <w:r>
        <w:rPr>
          <w:b/>
          <w:bCs/>
          <w:color w:val="1A1A2E"/>
        </w:rPr>
        <w:t xml:space="preserve">Secure communication channel: </w:t>
      </w:r>
      <w:r>
        <w:rPr>
          <w:color w:val="1A1A2E"/>
        </w:rPr>
        <w:t>Stakeholder messaging is conducted through an access-controlled communication channel with full audit logging. No external communication bypasses the platform's security controls.</w:t>
      </w:r>
    </w:p>
    <w:p w14:paraId="73C689D6" w14:textId="77777777" w:rsidR="00EC31E3" w:rsidRDefault="00000000">
      <w:pPr>
        <w:pStyle w:val="ListParagraph"/>
        <w:numPr>
          <w:ilvl w:val="0"/>
          <w:numId w:val="2"/>
        </w:numPr>
        <w:spacing w:before="40" w:after="40"/>
      </w:pPr>
      <w:r>
        <w:rPr>
          <w:b/>
          <w:bCs/>
          <w:color w:val="1A1A2E"/>
        </w:rPr>
        <w:t xml:space="preserve">Full audit coverage: </w:t>
      </w:r>
      <w:r>
        <w:rPr>
          <w:color w:val="1A1A2E"/>
        </w:rPr>
        <w:t>All stakeholder activity is captured in the same audit trail as internal users. There is no gap in audit coverage for external participants.</w:t>
      </w:r>
    </w:p>
    <w:p w14:paraId="22A2BBF9" w14:textId="77777777" w:rsidR="00EC31E3" w:rsidRDefault="00EC31E3">
      <w:pPr>
        <w:spacing w:before="200"/>
      </w:pPr>
    </w:p>
    <w:p w14:paraId="58120238" w14:textId="77777777" w:rsidR="00EC31E3" w:rsidRDefault="00000000">
      <w:r>
        <w:br w:type="page"/>
      </w:r>
    </w:p>
    <w:p w14:paraId="45EBF21D" w14:textId="77777777" w:rsidR="00EC31E3" w:rsidRDefault="00000000">
      <w:pPr>
        <w:pStyle w:val="Heading1"/>
        <w:pBdr>
          <w:bottom w:val="single" w:sz="6" w:space="6" w:color="2E75B6"/>
        </w:pBdr>
      </w:pPr>
      <w:r>
        <w:lastRenderedPageBreak/>
        <w:t>11. Regulatory Compliance Framework</w:t>
      </w:r>
    </w:p>
    <w:p w14:paraId="07B41F3A" w14:textId="77777777" w:rsidR="00EC31E3" w:rsidRDefault="00000000">
      <w:pPr>
        <w:spacing w:before="80" w:after="80"/>
        <w:jc w:val="both"/>
      </w:pPr>
      <w:r>
        <w:rPr>
          <w:color w:val="1A1A2E"/>
        </w:rPr>
        <w:t>Sprint Bridge Enterprise is designed to support compliance with the most widely required regulatory frameworks in enterprise software environments. Built-in controls map directly to each standard's requirements — no custom integration or third-party tooling is needed to produce audit-ready evidence.</w:t>
      </w:r>
    </w:p>
    <w:p w14:paraId="241E9BA2" w14:textId="77777777" w:rsidR="00EC31E3" w:rsidRDefault="00EC31E3">
      <w:pPr>
        <w:spacing w:before="1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3280"/>
        <w:gridCol w:w="3880"/>
      </w:tblGrid>
      <w:tr w:rsidR="00EC31E3" w14:paraId="2C5EA853" w14:textId="77777777">
        <w:tblPrEx>
          <w:tblCellMar>
            <w:top w:w="0" w:type="dxa"/>
            <w:bottom w:w="0" w:type="dxa"/>
          </w:tblCellMar>
        </w:tblPrEx>
        <w:trPr>
          <w:tblHeader/>
        </w:trPr>
        <w:tc>
          <w:tcPr>
            <w:tcW w:w="2200" w:type="dxa"/>
            <w:tcBorders>
              <w:top w:val="single" w:sz="1" w:space="0" w:color="C8D6E8"/>
              <w:left w:val="single" w:sz="1" w:space="0" w:color="C8D6E8"/>
              <w:bottom w:val="single" w:sz="1" w:space="0" w:color="C8D6E8"/>
              <w:right w:val="single" w:sz="1" w:space="0" w:color="C8D6E8"/>
            </w:tcBorders>
            <w:shd w:val="clear" w:color="auto" w:fill="1B4F8A"/>
            <w:tcMar>
              <w:top w:w="100" w:type="dxa"/>
              <w:left w:w="140" w:type="dxa"/>
              <w:bottom w:w="100" w:type="dxa"/>
              <w:right w:w="140" w:type="dxa"/>
            </w:tcMar>
          </w:tcPr>
          <w:p w14:paraId="45456C18" w14:textId="77777777" w:rsidR="00EC31E3" w:rsidRDefault="00000000">
            <w:r>
              <w:rPr>
                <w:b/>
                <w:bCs/>
                <w:color w:val="FFFFFF"/>
                <w:sz w:val="20"/>
                <w:szCs w:val="20"/>
              </w:rPr>
              <w:t>Standard</w:t>
            </w:r>
          </w:p>
        </w:tc>
        <w:tc>
          <w:tcPr>
            <w:tcW w:w="3280" w:type="dxa"/>
            <w:tcBorders>
              <w:top w:val="single" w:sz="1" w:space="0" w:color="C8D6E8"/>
              <w:left w:val="single" w:sz="1" w:space="0" w:color="C8D6E8"/>
              <w:bottom w:val="single" w:sz="1" w:space="0" w:color="C8D6E8"/>
              <w:right w:val="single" w:sz="1" w:space="0" w:color="C8D6E8"/>
            </w:tcBorders>
            <w:shd w:val="clear" w:color="auto" w:fill="1B4F8A"/>
            <w:tcMar>
              <w:top w:w="100" w:type="dxa"/>
              <w:left w:w="140" w:type="dxa"/>
              <w:bottom w:w="100" w:type="dxa"/>
              <w:right w:w="140" w:type="dxa"/>
            </w:tcMar>
          </w:tcPr>
          <w:p w14:paraId="1350B12F" w14:textId="77777777" w:rsidR="00EC31E3" w:rsidRDefault="00000000">
            <w:r>
              <w:rPr>
                <w:b/>
                <w:bCs/>
                <w:color w:val="FFFFFF"/>
                <w:sz w:val="20"/>
                <w:szCs w:val="20"/>
              </w:rPr>
              <w:t>Scope</w:t>
            </w:r>
          </w:p>
        </w:tc>
        <w:tc>
          <w:tcPr>
            <w:tcW w:w="3880" w:type="dxa"/>
            <w:tcBorders>
              <w:top w:val="single" w:sz="1" w:space="0" w:color="C8D6E8"/>
              <w:left w:val="single" w:sz="1" w:space="0" w:color="C8D6E8"/>
              <w:bottom w:val="single" w:sz="1" w:space="0" w:color="C8D6E8"/>
              <w:right w:val="single" w:sz="1" w:space="0" w:color="C8D6E8"/>
            </w:tcBorders>
            <w:shd w:val="clear" w:color="auto" w:fill="1B4F8A"/>
            <w:tcMar>
              <w:top w:w="100" w:type="dxa"/>
              <w:left w:w="140" w:type="dxa"/>
              <w:bottom w:w="100" w:type="dxa"/>
              <w:right w:w="140" w:type="dxa"/>
            </w:tcMar>
          </w:tcPr>
          <w:p w14:paraId="19AA1119" w14:textId="77777777" w:rsidR="00EC31E3" w:rsidRDefault="00000000">
            <w:r>
              <w:rPr>
                <w:b/>
                <w:bCs/>
                <w:color w:val="FFFFFF"/>
                <w:sz w:val="20"/>
                <w:szCs w:val="20"/>
              </w:rPr>
              <w:t>Sprint Bridge Controls</w:t>
            </w:r>
          </w:p>
        </w:tc>
      </w:tr>
      <w:tr w:rsidR="00EC31E3" w14:paraId="14A9899F" w14:textId="77777777">
        <w:tblPrEx>
          <w:tblCellMar>
            <w:top w:w="0" w:type="dxa"/>
            <w:bottom w:w="0" w:type="dxa"/>
          </w:tblCellMar>
        </w:tblPrEx>
        <w:tc>
          <w:tcPr>
            <w:tcW w:w="2200" w:type="dxa"/>
            <w:tcBorders>
              <w:top w:val="single" w:sz="1" w:space="0" w:color="C8D6E8"/>
              <w:left w:val="single" w:sz="1" w:space="0" w:color="C8D6E8"/>
              <w:bottom w:val="single" w:sz="1" w:space="0" w:color="C8D6E8"/>
              <w:right w:val="single" w:sz="1" w:space="0" w:color="C8D6E8"/>
            </w:tcBorders>
            <w:shd w:val="clear" w:color="auto" w:fill="FFFFFF"/>
            <w:tcMar>
              <w:top w:w="80" w:type="dxa"/>
              <w:left w:w="140" w:type="dxa"/>
              <w:bottom w:w="80" w:type="dxa"/>
              <w:right w:w="140" w:type="dxa"/>
            </w:tcMar>
          </w:tcPr>
          <w:p w14:paraId="466C537D" w14:textId="77777777" w:rsidR="00EC31E3" w:rsidRDefault="00000000">
            <w:r>
              <w:rPr>
                <w:b/>
                <w:bCs/>
                <w:color w:val="1A1A2E"/>
                <w:sz w:val="20"/>
                <w:szCs w:val="20"/>
              </w:rPr>
              <w:t>SOX (Sarbanes-Oxley)</w:t>
            </w:r>
          </w:p>
        </w:tc>
        <w:tc>
          <w:tcPr>
            <w:tcW w:w="3280" w:type="dxa"/>
            <w:tcBorders>
              <w:top w:val="single" w:sz="1" w:space="0" w:color="C8D6E8"/>
              <w:left w:val="single" w:sz="1" w:space="0" w:color="C8D6E8"/>
              <w:bottom w:val="single" w:sz="1" w:space="0" w:color="C8D6E8"/>
              <w:right w:val="single" w:sz="1" w:space="0" w:color="C8D6E8"/>
            </w:tcBorders>
            <w:shd w:val="clear" w:color="auto" w:fill="FFFFFF"/>
            <w:tcMar>
              <w:top w:w="80" w:type="dxa"/>
              <w:left w:w="140" w:type="dxa"/>
              <w:bottom w:w="80" w:type="dxa"/>
              <w:right w:w="140" w:type="dxa"/>
            </w:tcMar>
          </w:tcPr>
          <w:p w14:paraId="44CBCC5C" w14:textId="77777777" w:rsidR="00EC31E3" w:rsidRDefault="00000000">
            <w:r>
              <w:rPr>
                <w:color w:val="1A1A2E"/>
                <w:sz w:val="20"/>
                <w:szCs w:val="20"/>
              </w:rPr>
              <w:t>Financial audit trails, internal controls over financial reporting, change management governance</w:t>
            </w:r>
          </w:p>
        </w:tc>
        <w:tc>
          <w:tcPr>
            <w:tcW w:w="3880" w:type="dxa"/>
            <w:tcBorders>
              <w:top w:val="single" w:sz="1" w:space="0" w:color="C8D6E8"/>
              <w:left w:val="single" w:sz="1" w:space="0" w:color="C8D6E8"/>
              <w:bottom w:val="single" w:sz="1" w:space="0" w:color="C8D6E8"/>
              <w:right w:val="single" w:sz="1" w:space="0" w:color="C8D6E8"/>
            </w:tcBorders>
            <w:shd w:val="clear" w:color="auto" w:fill="FFFFFF"/>
            <w:tcMar>
              <w:top w:w="80" w:type="dxa"/>
              <w:left w:w="140" w:type="dxa"/>
              <w:bottom w:w="80" w:type="dxa"/>
              <w:right w:w="140" w:type="dxa"/>
            </w:tcMar>
          </w:tcPr>
          <w:p w14:paraId="596BB91E" w14:textId="77777777" w:rsidR="00EC31E3" w:rsidRDefault="00000000">
            <w:r>
              <w:rPr>
                <w:color w:val="1A1A2E"/>
                <w:sz w:val="20"/>
                <w:szCs w:val="20"/>
              </w:rPr>
              <w:t>Cryptographic audit logs, financial classification change history, role-restricted report access, immutable change records, 100%-coverage reconciliation reporting</w:t>
            </w:r>
          </w:p>
        </w:tc>
      </w:tr>
      <w:tr w:rsidR="00EC31E3" w14:paraId="1859CBC8" w14:textId="77777777">
        <w:tblPrEx>
          <w:tblCellMar>
            <w:top w:w="0" w:type="dxa"/>
            <w:bottom w:w="0" w:type="dxa"/>
          </w:tblCellMar>
        </w:tblPrEx>
        <w:tc>
          <w:tcPr>
            <w:tcW w:w="2200" w:type="dxa"/>
            <w:tcBorders>
              <w:top w:val="single" w:sz="1" w:space="0" w:color="C8D6E8"/>
              <w:left w:val="single" w:sz="1" w:space="0" w:color="C8D6E8"/>
              <w:bottom w:val="single" w:sz="1" w:space="0" w:color="C8D6E8"/>
              <w:right w:val="single" w:sz="1" w:space="0" w:color="C8D6E8"/>
            </w:tcBorders>
            <w:shd w:val="clear" w:color="auto" w:fill="F2F6FB"/>
            <w:tcMar>
              <w:top w:w="80" w:type="dxa"/>
              <w:left w:w="140" w:type="dxa"/>
              <w:bottom w:w="80" w:type="dxa"/>
              <w:right w:w="140" w:type="dxa"/>
            </w:tcMar>
          </w:tcPr>
          <w:p w14:paraId="47114472" w14:textId="77777777" w:rsidR="00EC31E3" w:rsidRDefault="00000000">
            <w:r>
              <w:rPr>
                <w:b/>
                <w:bCs/>
                <w:color w:val="1A1A2E"/>
                <w:sz w:val="20"/>
                <w:szCs w:val="20"/>
              </w:rPr>
              <w:t>GDPR (EU Data Protection Regulation)</w:t>
            </w:r>
          </w:p>
        </w:tc>
        <w:tc>
          <w:tcPr>
            <w:tcW w:w="3280" w:type="dxa"/>
            <w:tcBorders>
              <w:top w:val="single" w:sz="1" w:space="0" w:color="C8D6E8"/>
              <w:left w:val="single" w:sz="1" w:space="0" w:color="C8D6E8"/>
              <w:bottom w:val="single" w:sz="1" w:space="0" w:color="C8D6E8"/>
              <w:right w:val="single" w:sz="1" w:space="0" w:color="C8D6E8"/>
            </w:tcBorders>
            <w:shd w:val="clear" w:color="auto" w:fill="F2F6FB"/>
            <w:tcMar>
              <w:top w:w="80" w:type="dxa"/>
              <w:left w:w="140" w:type="dxa"/>
              <w:bottom w:w="80" w:type="dxa"/>
              <w:right w:w="140" w:type="dxa"/>
            </w:tcMar>
          </w:tcPr>
          <w:p w14:paraId="7C7B9F47" w14:textId="77777777" w:rsidR="00EC31E3" w:rsidRDefault="00000000">
            <w:r>
              <w:rPr>
                <w:color w:val="1A1A2E"/>
                <w:sz w:val="20"/>
                <w:szCs w:val="20"/>
              </w:rPr>
              <w:t>Personal data protection, right to erasure, data portability, breach notification obligations</w:t>
            </w:r>
          </w:p>
        </w:tc>
        <w:tc>
          <w:tcPr>
            <w:tcW w:w="3880" w:type="dxa"/>
            <w:tcBorders>
              <w:top w:val="single" w:sz="1" w:space="0" w:color="C8D6E8"/>
              <w:left w:val="single" w:sz="1" w:space="0" w:color="C8D6E8"/>
              <w:bottom w:val="single" w:sz="1" w:space="0" w:color="C8D6E8"/>
              <w:right w:val="single" w:sz="1" w:space="0" w:color="C8D6E8"/>
            </w:tcBorders>
            <w:shd w:val="clear" w:color="auto" w:fill="F2F6FB"/>
            <w:tcMar>
              <w:top w:w="80" w:type="dxa"/>
              <w:left w:w="140" w:type="dxa"/>
              <w:bottom w:w="80" w:type="dxa"/>
              <w:right w:w="140" w:type="dxa"/>
            </w:tcMar>
          </w:tcPr>
          <w:p w14:paraId="2D9A6D24" w14:textId="77777777" w:rsidR="00EC31E3" w:rsidRDefault="00000000">
            <w:r>
              <w:rPr>
                <w:color w:val="1A1A2E"/>
                <w:sz w:val="20"/>
                <w:szCs w:val="20"/>
              </w:rPr>
              <w:t>Data export and portability tools, configurable retention and automated purge policies, audit trails for personal data access, notification workflow support</w:t>
            </w:r>
          </w:p>
        </w:tc>
      </w:tr>
      <w:tr w:rsidR="00EC31E3" w14:paraId="70A4D8C6" w14:textId="77777777">
        <w:tblPrEx>
          <w:tblCellMar>
            <w:top w:w="0" w:type="dxa"/>
            <w:bottom w:w="0" w:type="dxa"/>
          </w:tblCellMar>
        </w:tblPrEx>
        <w:tc>
          <w:tcPr>
            <w:tcW w:w="2200" w:type="dxa"/>
            <w:tcBorders>
              <w:top w:val="single" w:sz="1" w:space="0" w:color="C8D6E8"/>
              <w:left w:val="single" w:sz="1" w:space="0" w:color="C8D6E8"/>
              <w:bottom w:val="single" w:sz="1" w:space="0" w:color="C8D6E8"/>
              <w:right w:val="single" w:sz="1" w:space="0" w:color="C8D6E8"/>
            </w:tcBorders>
            <w:shd w:val="clear" w:color="auto" w:fill="FFFFFF"/>
            <w:tcMar>
              <w:top w:w="80" w:type="dxa"/>
              <w:left w:w="140" w:type="dxa"/>
              <w:bottom w:w="80" w:type="dxa"/>
              <w:right w:w="140" w:type="dxa"/>
            </w:tcMar>
          </w:tcPr>
          <w:p w14:paraId="47EB78FE" w14:textId="77777777" w:rsidR="00EC31E3" w:rsidRDefault="00000000">
            <w:r>
              <w:rPr>
                <w:b/>
                <w:bCs/>
                <w:color w:val="1A1A2E"/>
                <w:sz w:val="20"/>
                <w:szCs w:val="20"/>
              </w:rPr>
              <w:t>PCI DSS (Payment Card Industry Standard)</w:t>
            </w:r>
          </w:p>
        </w:tc>
        <w:tc>
          <w:tcPr>
            <w:tcW w:w="3280" w:type="dxa"/>
            <w:tcBorders>
              <w:top w:val="single" w:sz="1" w:space="0" w:color="C8D6E8"/>
              <w:left w:val="single" w:sz="1" w:space="0" w:color="C8D6E8"/>
              <w:bottom w:val="single" w:sz="1" w:space="0" w:color="C8D6E8"/>
              <w:right w:val="single" w:sz="1" w:space="0" w:color="C8D6E8"/>
            </w:tcBorders>
            <w:shd w:val="clear" w:color="auto" w:fill="FFFFFF"/>
            <w:tcMar>
              <w:top w:w="80" w:type="dxa"/>
              <w:left w:w="140" w:type="dxa"/>
              <w:bottom w:w="80" w:type="dxa"/>
              <w:right w:w="140" w:type="dxa"/>
            </w:tcMar>
          </w:tcPr>
          <w:p w14:paraId="2F8D9119" w14:textId="77777777" w:rsidR="00EC31E3" w:rsidRDefault="00000000">
            <w:r>
              <w:rPr>
                <w:color w:val="1A1A2E"/>
                <w:sz w:val="20"/>
                <w:szCs w:val="20"/>
              </w:rPr>
              <w:t>Access controls, audit logging, encryption, session management, monitoring</w:t>
            </w:r>
          </w:p>
        </w:tc>
        <w:tc>
          <w:tcPr>
            <w:tcW w:w="3880" w:type="dxa"/>
            <w:tcBorders>
              <w:top w:val="single" w:sz="1" w:space="0" w:color="C8D6E8"/>
              <w:left w:val="single" w:sz="1" w:space="0" w:color="C8D6E8"/>
              <w:bottom w:val="single" w:sz="1" w:space="0" w:color="C8D6E8"/>
              <w:right w:val="single" w:sz="1" w:space="0" w:color="C8D6E8"/>
            </w:tcBorders>
            <w:shd w:val="clear" w:color="auto" w:fill="FFFFFF"/>
            <w:tcMar>
              <w:top w:w="80" w:type="dxa"/>
              <w:left w:w="140" w:type="dxa"/>
              <w:bottom w:w="80" w:type="dxa"/>
              <w:right w:w="140" w:type="dxa"/>
            </w:tcMar>
          </w:tcPr>
          <w:p w14:paraId="65044A57" w14:textId="77777777" w:rsidR="00EC31E3" w:rsidRDefault="00000000">
            <w:r>
              <w:rPr>
                <w:color w:val="1A1A2E"/>
                <w:sz w:val="20"/>
                <w:szCs w:val="20"/>
              </w:rPr>
              <w:t>Comprehensive audit trails, RBAC enforcement, TLS encryption, adaptive password hashing, session timeout and device-binding controls, real-time monitoring dashboard</w:t>
            </w:r>
          </w:p>
        </w:tc>
      </w:tr>
      <w:tr w:rsidR="00EC31E3" w14:paraId="27A64BD7" w14:textId="77777777">
        <w:tblPrEx>
          <w:tblCellMar>
            <w:top w:w="0" w:type="dxa"/>
            <w:bottom w:w="0" w:type="dxa"/>
          </w:tblCellMar>
        </w:tblPrEx>
        <w:tc>
          <w:tcPr>
            <w:tcW w:w="2200" w:type="dxa"/>
            <w:tcBorders>
              <w:top w:val="single" w:sz="1" w:space="0" w:color="C8D6E8"/>
              <w:left w:val="single" w:sz="1" w:space="0" w:color="C8D6E8"/>
              <w:bottom w:val="single" w:sz="1" w:space="0" w:color="C8D6E8"/>
              <w:right w:val="single" w:sz="1" w:space="0" w:color="C8D6E8"/>
            </w:tcBorders>
            <w:shd w:val="clear" w:color="auto" w:fill="F2F6FB"/>
            <w:tcMar>
              <w:top w:w="80" w:type="dxa"/>
              <w:left w:w="140" w:type="dxa"/>
              <w:bottom w:w="80" w:type="dxa"/>
              <w:right w:w="140" w:type="dxa"/>
            </w:tcMar>
          </w:tcPr>
          <w:p w14:paraId="7F1D16B7" w14:textId="77777777" w:rsidR="00EC31E3" w:rsidRDefault="00000000">
            <w:r>
              <w:rPr>
                <w:b/>
                <w:bCs/>
                <w:color w:val="1A1A2E"/>
                <w:sz w:val="20"/>
                <w:szCs w:val="20"/>
              </w:rPr>
              <w:t>SOC 2 Type II (AICPA Trust Services)</w:t>
            </w:r>
          </w:p>
        </w:tc>
        <w:tc>
          <w:tcPr>
            <w:tcW w:w="3280" w:type="dxa"/>
            <w:tcBorders>
              <w:top w:val="single" w:sz="1" w:space="0" w:color="C8D6E8"/>
              <w:left w:val="single" w:sz="1" w:space="0" w:color="C8D6E8"/>
              <w:bottom w:val="single" w:sz="1" w:space="0" w:color="C8D6E8"/>
              <w:right w:val="single" w:sz="1" w:space="0" w:color="C8D6E8"/>
            </w:tcBorders>
            <w:shd w:val="clear" w:color="auto" w:fill="F2F6FB"/>
            <w:tcMar>
              <w:top w:w="80" w:type="dxa"/>
              <w:left w:w="140" w:type="dxa"/>
              <w:bottom w:w="80" w:type="dxa"/>
              <w:right w:w="140" w:type="dxa"/>
            </w:tcMar>
          </w:tcPr>
          <w:p w14:paraId="19FD752D" w14:textId="77777777" w:rsidR="00EC31E3" w:rsidRDefault="00000000">
            <w:r>
              <w:rPr>
                <w:color w:val="1A1A2E"/>
                <w:sz w:val="20"/>
                <w:szCs w:val="20"/>
              </w:rPr>
              <w:t>Security, availability, confidentiality, and processing integrity criteria</w:t>
            </w:r>
          </w:p>
        </w:tc>
        <w:tc>
          <w:tcPr>
            <w:tcW w:w="3880" w:type="dxa"/>
            <w:tcBorders>
              <w:top w:val="single" w:sz="1" w:space="0" w:color="C8D6E8"/>
              <w:left w:val="single" w:sz="1" w:space="0" w:color="C8D6E8"/>
              <w:bottom w:val="single" w:sz="1" w:space="0" w:color="C8D6E8"/>
              <w:right w:val="single" w:sz="1" w:space="0" w:color="C8D6E8"/>
            </w:tcBorders>
            <w:shd w:val="clear" w:color="auto" w:fill="F2F6FB"/>
            <w:tcMar>
              <w:top w:w="80" w:type="dxa"/>
              <w:left w:w="140" w:type="dxa"/>
              <w:bottom w:w="80" w:type="dxa"/>
              <w:right w:w="140" w:type="dxa"/>
            </w:tcMar>
          </w:tcPr>
          <w:p w14:paraId="2B84FB38" w14:textId="77777777" w:rsidR="00EC31E3" w:rsidRDefault="00000000">
            <w:r>
              <w:rPr>
                <w:color w:val="1A1A2E"/>
                <w:sz w:val="20"/>
                <w:szCs w:val="20"/>
              </w:rPr>
              <w:t>Cryptographic audit integrity, multi-tenant data isolation, high-availability architecture, role-based data access enforcement</w:t>
            </w:r>
          </w:p>
        </w:tc>
      </w:tr>
      <w:tr w:rsidR="00EC31E3" w14:paraId="14EAFBDE" w14:textId="77777777">
        <w:tblPrEx>
          <w:tblCellMar>
            <w:top w:w="0" w:type="dxa"/>
            <w:bottom w:w="0" w:type="dxa"/>
          </w:tblCellMar>
        </w:tblPrEx>
        <w:tc>
          <w:tcPr>
            <w:tcW w:w="2200" w:type="dxa"/>
            <w:tcBorders>
              <w:top w:val="single" w:sz="1" w:space="0" w:color="C8D6E8"/>
              <w:left w:val="single" w:sz="1" w:space="0" w:color="C8D6E8"/>
              <w:bottom w:val="single" w:sz="1" w:space="0" w:color="C8D6E8"/>
              <w:right w:val="single" w:sz="1" w:space="0" w:color="C8D6E8"/>
            </w:tcBorders>
            <w:shd w:val="clear" w:color="auto" w:fill="FFFFFF"/>
            <w:tcMar>
              <w:top w:w="80" w:type="dxa"/>
              <w:left w:w="140" w:type="dxa"/>
              <w:bottom w:w="80" w:type="dxa"/>
              <w:right w:w="140" w:type="dxa"/>
            </w:tcMar>
          </w:tcPr>
          <w:p w14:paraId="31B84F4C" w14:textId="77777777" w:rsidR="00EC31E3" w:rsidRDefault="00000000">
            <w:r>
              <w:rPr>
                <w:b/>
                <w:bCs/>
                <w:color w:val="1A1A2E"/>
                <w:sz w:val="20"/>
                <w:szCs w:val="20"/>
              </w:rPr>
              <w:t>ASC 350-40 (FASB Capitalization Standard)</w:t>
            </w:r>
          </w:p>
        </w:tc>
        <w:tc>
          <w:tcPr>
            <w:tcW w:w="3280" w:type="dxa"/>
            <w:tcBorders>
              <w:top w:val="single" w:sz="1" w:space="0" w:color="C8D6E8"/>
              <w:left w:val="single" w:sz="1" w:space="0" w:color="C8D6E8"/>
              <w:bottom w:val="single" w:sz="1" w:space="0" w:color="C8D6E8"/>
              <w:right w:val="single" w:sz="1" w:space="0" w:color="C8D6E8"/>
            </w:tcBorders>
            <w:shd w:val="clear" w:color="auto" w:fill="FFFFFF"/>
            <w:tcMar>
              <w:top w:w="80" w:type="dxa"/>
              <w:left w:w="140" w:type="dxa"/>
              <w:bottom w:w="80" w:type="dxa"/>
              <w:right w:w="140" w:type="dxa"/>
            </w:tcMar>
          </w:tcPr>
          <w:p w14:paraId="06C6E86F" w14:textId="77777777" w:rsidR="00EC31E3" w:rsidRDefault="00000000">
            <w:r>
              <w:rPr>
                <w:color w:val="1A1A2E"/>
                <w:sz w:val="20"/>
                <w:szCs w:val="20"/>
              </w:rPr>
              <w:t>Capitalization of internal-use software development costs and ongoing maintenance</w:t>
            </w:r>
          </w:p>
        </w:tc>
        <w:tc>
          <w:tcPr>
            <w:tcW w:w="3880" w:type="dxa"/>
            <w:tcBorders>
              <w:top w:val="single" w:sz="1" w:space="0" w:color="C8D6E8"/>
              <w:left w:val="single" w:sz="1" w:space="0" w:color="C8D6E8"/>
              <w:bottom w:val="single" w:sz="1" w:space="0" w:color="C8D6E8"/>
              <w:right w:val="single" w:sz="1" w:space="0" w:color="C8D6E8"/>
            </w:tcBorders>
            <w:shd w:val="clear" w:color="auto" w:fill="FFFFFF"/>
            <w:tcMar>
              <w:top w:w="80" w:type="dxa"/>
              <w:left w:w="140" w:type="dxa"/>
              <w:bottom w:w="80" w:type="dxa"/>
              <w:right w:w="140" w:type="dxa"/>
            </w:tcMar>
          </w:tcPr>
          <w:p w14:paraId="17CFAB4A" w14:textId="77777777" w:rsidR="00EC31E3" w:rsidRDefault="00000000">
            <w:proofErr w:type="spellStart"/>
            <w:r>
              <w:rPr>
                <w:color w:val="1A1A2E"/>
                <w:sz w:val="20"/>
                <w:szCs w:val="20"/>
              </w:rPr>
              <w:t>CapEx</w:t>
            </w:r>
            <w:proofErr w:type="spellEnd"/>
            <w:r>
              <w:rPr>
                <w:color w:val="1A1A2E"/>
                <w:sz w:val="20"/>
                <w:szCs w:val="20"/>
              </w:rPr>
              <w:t xml:space="preserve"> eligibility flags, authorization date tracking, go-live management, automated </w:t>
            </w:r>
            <w:proofErr w:type="spellStart"/>
            <w:r>
              <w:rPr>
                <w:color w:val="1A1A2E"/>
                <w:sz w:val="20"/>
                <w:szCs w:val="20"/>
              </w:rPr>
              <w:t>OpEx</w:t>
            </w:r>
            <w:proofErr w:type="spellEnd"/>
            <w:r>
              <w:rPr>
                <w:color w:val="1A1A2E"/>
                <w:sz w:val="20"/>
                <w:szCs w:val="20"/>
              </w:rPr>
              <w:t>/</w:t>
            </w:r>
            <w:proofErr w:type="spellStart"/>
            <w:r>
              <w:rPr>
                <w:color w:val="1A1A2E"/>
                <w:sz w:val="20"/>
                <w:szCs w:val="20"/>
              </w:rPr>
              <w:t>CapEx</w:t>
            </w:r>
            <w:proofErr w:type="spellEnd"/>
            <w:r>
              <w:rPr>
                <w:color w:val="1A1A2E"/>
                <w:sz w:val="20"/>
                <w:szCs w:val="20"/>
              </w:rPr>
              <w:t xml:space="preserve"> classification, CPA-ready reconciliation reports</w:t>
            </w:r>
          </w:p>
        </w:tc>
      </w:tr>
    </w:tbl>
    <w:p w14:paraId="15CD4027" w14:textId="77777777" w:rsidR="00EC31E3" w:rsidRDefault="00EC31E3">
      <w:pPr>
        <w:spacing w:before="120"/>
      </w:pPr>
    </w:p>
    <w:p w14:paraId="7E22DD19" w14:textId="77777777" w:rsidR="00EC31E3" w:rsidRDefault="00000000">
      <w:pPr>
        <w:spacing w:before="80" w:after="80"/>
        <w:jc w:val="both"/>
      </w:pPr>
      <w:r>
        <w:rPr>
          <w:i/>
          <w:iCs/>
          <w:color w:val="1A1A2E"/>
        </w:rPr>
        <w:t>Organizations deploying Sprint Bridge are encouraged to work with their legal and compliance teams to confirm that platform configuration aligns with their specific regulatory obligations and jurisdictional requirements. Sprint Bridge provides the technical controls; organizational policies and procedures must accompany them to constitute a complete compliance posture.</w:t>
      </w:r>
    </w:p>
    <w:p w14:paraId="1A890C7C" w14:textId="77777777" w:rsidR="00EC31E3" w:rsidRDefault="00EC31E3">
      <w:pPr>
        <w:spacing w:before="200"/>
      </w:pPr>
    </w:p>
    <w:p w14:paraId="16B0A307" w14:textId="77777777" w:rsidR="00EC31E3" w:rsidRDefault="00000000">
      <w:pPr>
        <w:pStyle w:val="Heading1"/>
        <w:pBdr>
          <w:bottom w:val="single" w:sz="6" w:space="6" w:color="2E75B6"/>
        </w:pBdr>
      </w:pPr>
      <w:r>
        <w:t>12. Financial Compliance — SOX &amp; ASC 350-40</w:t>
      </w:r>
    </w:p>
    <w:p w14:paraId="116AFCF1" w14:textId="77777777" w:rsidR="00EC31E3" w:rsidRDefault="00000000">
      <w:pPr>
        <w:spacing w:before="80" w:after="80"/>
        <w:jc w:val="both"/>
      </w:pPr>
      <w:r>
        <w:rPr>
          <w:color w:val="1A1A2E"/>
        </w:rPr>
        <w:t>Sprint Bridge's financial reporting system is purpose-built for compliance in enterprise environments where software development costs must be properly classified, capitalized, and reported according to accounting standards.</w:t>
      </w:r>
    </w:p>
    <w:p w14:paraId="50766245" w14:textId="77777777" w:rsidR="00EC31E3" w:rsidRDefault="00EC31E3">
      <w:pPr>
        <w:spacing w:before="120"/>
      </w:pPr>
    </w:p>
    <w:p w14:paraId="68A4DE29" w14:textId="77777777" w:rsidR="00EC31E3" w:rsidRDefault="00000000">
      <w:pPr>
        <w:pStyle w:val="Heading2"/>
      </w:pPr>
      <w:r>
        <w:lastRenderedPageBreak/>
        <w:t>12.1 Sarbanes-Oxley (SOX) Controls</w:t>
      </w:r>
    </w:p>
    <w:p w14:paraId="17EBB6B8" w14:textId="77777777" w:rsidR="00EC31E3" w:rsidRDefault="00000000">
      <w:pPr>
        <w:pStyle w:val="ListParagraph"/>
        <w:numPr>
          <w:ilvl w:val="0"/>
          <w:numId w:val="2"/>
        </w:numPr>
        <w:spacing w:before="40" w:after="40"/>
      </w:pPr>
      <w:r>
        <w:rPr>
          <w:color w:val="1A1A2E"/>
        </w:rPr>
        <w:t>Complete audit trails for all financial data entries, modifications, and classification decisions — with user attribution, timestamps, and before/after state capture on every change.</w:t>
      </w:r>
    </w:p>
    <w:p w14:paraId="48CD72EE" w14:textId="77777777" w:rsidR="00EC31E3" w:rsidRDefault="00000000">
      <w:pPr>
        <w:pStyle w:val="ListParagraph"/>
        <w:numPr>
          <w:ilvl w:val="0"/>
          <w:numId w:val="2"/>
        </w:numPr>
        <w:spacing w:before="40" w:after="40"/>
      </w:pPr>
      <w:r>
        <w:rPr>
          <w:color w:val="1A1A2E"/>
        </w:rPr>
        <w:t>Role-based access restrictions on financial reporting prevent unauthorized modification or review of sensitive cost data.</w:t>
      </w:r>
    </w:p>
    <w:p w14:paraId="0CBEF63F" w14:textId="77777777" w:rsidR="00EC31E3" w:rsidRDefault="00000000">
      <w:pPr>
        <w:pStyle w:val="ListParagraph"/>
        <w:numPr>
          <w:ilvl w:val="0"/>
          <w:numId w:val="2"/>
        </w:numPr>
        <w:spacing w:before="40" w:after="40"/>
      </w:pPr>
      <w:r>
        <w:rPr>
          <w:color w:val="1A1A2E"/>
        </w:rPr>
        <w:t>Financial reconciliation reports provide 100% coverage verification, supporting the internal control documentation required under SOX Section 404.</w:t>
      </w:r>
    </w:p>
    <w:p w14:paraId="14F983F0" w14:textId="77777777" w:rsidR="00EC31E3" w:rsidRDefault="00000000">
      <w:pPr>
        <w:pStyle w:val="ListParagraph"/>
        <w:numPr>
          <w:ilvl w:val="0"/>
          <w:numId w:val="2"/>
        </w:numPr>
        <w:spacing w:before="40" w:after="40"/>
      </w:pPr>
      <w:r>
        <w:rPr>
          <w:color w:val="1A1A2E"/>
        </w:rPr>
        <w:t>All financial control changes are themselves audited, ensuring that the integrity of controls can be demonstrated to external auditors.</w:t>
      </w:r>
    </w:p>
    <w:p w14:paraId="434758BE" w14:textId="77777777" w:rsidR="00EC31E3" w:rsidRDefault="00EC31E3">
      <w:pPr>
        <w:spacing w:before="120"/>
      </w:pPr>
    </w:p>
    <w:p w14:paraId="23244099" w14:textId="77777777" w:rsidR="00EC31E3" w:rsidRDefault="00000000">
      <w:pPr>
        <w:pStyle w:val="Heading2"/>
      </w:pPr>
      <w:r>
        <w:t>12.2 ASC 350-40 Software Cost Capitalization</w:t>
      </w:r>
    </w:p>
    <w:p w14:paraId="40CF03AD" w14:textId="77777777" w:rsidR="00EC31E3" w:rsidRDefault="00000000">
      <w:pPr>
        <w:pStyle w:val="ListParagraph"/>
        <w:numPr>
          <w:ilvl w:val="0"/>
          <w:numId w:val="2"/>
        </w:numPr>
        <w:spacing w:before="40" w:after="40"/>
      </w:pPr>
      <w:r>
        <w:rPr>
          <w:color w:val="1A1A2E"/>
        </w:rPr>
        <w:t>Automated classification of development activity as Operating Expense (</w:t>
      </w:r>
      <w:proofErr w:type="spellStart"/>
      <w:r>
        <w:rPr>
          <w:color w:val="1A1A2E"/>
        </w:rPr>
        <w:t>OpEx</w:t>
      </w:r>
      <w:proofErr w:type="spellEnd"/>
      <w:r>
        <w:rPr>
          <w:color w:val="1A1A2E"/>
        </w:rPr>
        <w:t>) or Capital Expense (</w:t>
      </w:r>
      <w:proofErr w:type="spellStart"/>
      <w:r>
        <w:rPr>
          <w:color w:val="1A1A2E"/>
        </w:rPr>
        <w:t>CapEx</w:t>
      </w:r>
      <w:proofErr w:type="spellEnd"/>
      <w:r>
        <w:rPr>
          <w:color w:val="1A1A2E"/>
        </w:rPr>
        <w:t>) based on configurable business rules aligned to the standard's guidance.</w:t>
      </w:r>
    </w:p>
    <w:p w14:paraId="60CCD25F" w14:textId="77777777" w:rsidR="00EC31E3" w:rsidRDefault="00000000">
      <w:pPr>
        <w:pStyle w:val="ListParagraph"/>
        <w:numPr>
          <w:ilvl w:val="0"/>
          <w:numId w:val="2"/>
        </w:numPr>
        <w:spacing w:before="40" w:after="40"/>
      </w:pPr>
      <w:r>
        <w:rPr>
          <w:color w:val="1A1A2E"/>
        </w:rPr>
        <w:t>Project-level eligibility flags with authorization dates and go-live tracking support accurate phase-based capitalization decisions.</w:t>
      </w:r>
    </w:p>
    <w:p w14:paraId="2CAF6E24" w14:textId="77777777" w:rsidR="00EC31E3" w:rsidRDefault="00000000">
      <w:pPr>
        <w:pStyle w:val="ListParagraph"/>
        <w:numPr>
          <w:ilvl w:val="0"/>
          <w:numId w:val="2"/>
        </w:numPr>
        <w:spacing w:before="40" w:after="40"/>
      </w:pPr>
      <w:r>
        <w:rPr>
          <w:color w:val="1A1A2E"/>
        </w:rPr>
        <w:t>Professional report formats designed for CPA review and audit submission, including reconciliation worksheets that verify complete cost coverage.</w:t>
      </w:r>
    </w:p>
    <w:p w14:paraId="61211692" w14:textId="77777777" w:rsidR="00EC31E3" w:rsidRDefault="00000000">
      <w:pPr>
        <w:pStyle w:val="ListParagraph"/>
        <w:numPr>
          <w:ilvl w:val="0"/>
          <w:numId w:val="2"/>
        </w:numPr>
        <w:spacing w:before="40" w:after="40"/>
      </w:pPr>
      <w:r>
        <w:rPr>
          <w:color w:val="1A1A2E"/>
        </w:rPr>
        <w:t>Developer time entry data is integrated directly with cost classification, providing accurate labor cost allocation supporting capitalization calculations.</w:t>
      </w:r>
    </w:p>
    <w:p w14:paraId="4D6BC16B" w14:textId="77777777" w:rsidR="00EC31E3" w:rsidRDefault="00EC31E3">
      <w:pPr>
        <w:spacing w:before="200"/>
      </w:pPr>
    </w:p>
    <w:p w14:paraId="39E812AB" w14:textId="77777777" w:rsidR="00EC31E3" w:rsidRDefault="00000000">
      <w:r>
        <w:br w:type="page"/>
      </w:r>
    </w:p>
    <w:p w14:paraId="1720FA13" w14:textId="77777777" w:rsidR="00EC31E3" w:rsidRDefault="00000000">
      <w:pPr>
        <w:pStyle w:val="Heading1"/>
        <w:pBdr>
          <w:bottom w:val="single" w:sz="6" w:space="6" w:color="2E75B6"/>
        </w:pBdr>
      </w:pPr>
      <w:r>
        <w:lastRenderedPageBreak/>
        <w:t>13. Infrastructure &amp; Deployment Security</w:t>
      </w:r>
    </w:p>
    <w:p w14:paraId="6726571C" w14:textId="77777777" w:rsidR="00EC31E3" w:rsidRDefault="00000000">
      <w:pPr>
        <w:spacing w:before="80" w:after="80"/>
        <w:jc w:val="both"/>
      </w:pPr>
      <w:r>
        <w:rPr>
          <w:color w:val="1A1A2E"/>
        </w:rPr>
        <w:t>Sprint Bridge Enterprise is delivered as a containerized application with hardened default configurations across all infrastructure components. The platform is designed for deployment in enterprise private cloud, public cloud, and hybrid environments.</w:t>
      </w:r>
    </w:p>
    <w:p w14:paraId="44E8AD74" w14:textId="77777777" w:rsidR="00EC31E3" w:rsidRDefault="00EC31E3">
      <w:pPr>
        <w:spacing w:before="120"/>
      </w:pPr>
    </w:p>
    <w:p w14:paraId="2D5324A4" w14:textId="77777777" w:rsidR="00EC31E3" w:rsidRDefault="00000000">
      <w:pPr>
        <w:pStyle w:val="Heading2"/>
      </w:pPr>
      <w:r>
        <w:t>13.1 Principle of Least Privilege at the Infrastructure Layer</w:t>
      </w:r>
    </w:p>
    <w:p w14:paraId="69B177D3" w14:textId="77777777" w:rsidR="00EC31E3" w:rsidRDefault="00000000">
      <w:pPr>
        <w:pStyle w:val="ListParagraph"/>
        <w:numPr>
          <w:ilvl w:val="0"/>
          <w:numId w:val="2"/>
        </w:numPr>
        <w:spacing w:before="40" w:after="40"/>
      </w:pPr>
      <w:r>
        <w:rPr>
          <w:color w:val="1A1A2E"/>
        </w:rPr>
        <w:t>Application processes run as non-root, least-privilege system users, limiting the potential impact of any application-layer compromise.</w:t>
      </w:r>
    </w:p>
    <w:p w14:paraId="584EC818" w14:textId="77777777" w:rsidR="00EC31E3" w:rsidRDefault="00000000">
      <w:pPr>
        <w:pStyle w:val="ListParagraph"/>
        <w:numPr>
          <w:ilvl w:val="0"/>
          <w:numId w:val="2"/>
        </w:numPr>
        <w:spacing w:before="40" w:after="40"/>
      </w:pPr>
      <w:r>
        <w:rPr>
          <w:color w:val="1A1A2E"/>
        </w:rPr>
        <w:t>Production builds use multi-stage compilation to exclude development tooling and build dependencies from runtime images, minimizing the attack surface.</w:t>
      </w:r>
    </w:p>
    <w:p w14:paraId="615F36E1" w14:textId="77777777" w:rsidR="00EC31E3" w:rsidRDefault="00000000">
      <w:pPr>
        <w:pStyle w:val="ListParagraph"/>
        <w:numPr>
          <w:ilvl w:val="0"/>
          <w:numId w:val="2"/>
        </w:numPr>
        <w:spacing w:before="40" w:after="40"/>
      </w:pPr>
      <w:r>
        <w:rPr>
          <w:color w:val="1A1A2E"/>
        </w:rPr>
        <w:t>Internal services communicate over isolated network segments that are not exposed to the public internet. Only the ingress proxy accepts external connections.</w:t>
      </w:r>
    </w:p>
    <w:p w14:paraId="1CC940BD" w14:textId="77777777" w:rsidR="00EC31E3" w:rsidRDefault="00EC31E3">
      <w:pPr>
        <w:spacing w:before="120"/>
      </w:pPr>
    </w:p>
    <w:p w14:paraId="6FC554D2" w14:textId="77777777" w:rsidR="00EC31E3" w:rsidRDefault="00000000">
      <w:pPr>
        <w:pStyle w:val="Heading2"/>
      </w:pPr>
      <w:r>
        <w:t>13.2 TLS &amp; Network Controls</w:t>
      </w:r>
    </w:p>
    <w:p w14:paraId="0053E50B" w14:textId="77777777" w:rsidR="00EC31E3" w:rsidRDefault="00000000">
      <w:pPr>
        <w:pStyle w:val="ListParagraph"/>
        <w:numPr>
          <w:ilvl w:val="0"/>
          <w:numId w:val="2"/>
        </w:numPr>
        <w:spacing w:before="40" w:after="40"/>
      </w:pPr>
      <w:r>
        <w:rPr>
          <w:color w:val="1A1A2E"/>
        </w:rPr>
        <w:t>All inbound connections are routed through a TLS-terminating reverse proxy. Unencrypted HTTP connections are not accepted by the application.</w:t>
      </w:r>
    </w:p>
    <w:p w14:paraId="2D868813" w14:textId="77777777" w:rsidR="00EC31E3" w:rsidRDefault="00000000">
      <w:pPr>
        <w:pStyle w:val="ListParagraph"/>
        <w:numPr>
          <w:ilvl w:val="0"/>
          <w:numId w:val="2"/>
        </w:numPr>
        <w:spacing w:before="40" w:after="40"/>
      </w:pPr>
      <w:r>
        <w:rPr>
          <w:color w:val="1A1A2E"/>
        </w:rPr>
        <w:t>API rate limiting is enforced at the application layer, protecting against denial-of-service attacks and automated enumeration attempts.</w:t>
      </w:r>
    </w:p>
    <w:p w14:paraId="1D1F19C5" w14:textId="77777777" w:rsidR="00EC31E3" w:rsidRDefault="00EC31E3">
      <w:pPr>
        <w:spacing w:before="120"/>
      </w:pPr>
    </w:p>
    <w:p w14:paraId="4D2C6CC3" w14:textId="77777777" w:rsidR="00EC31E3" w:rsidRDefault="00000000">
      <w:pPr>
        <w:pStyle w:val="Heading2"/>
      </w:pPr>
      <w:r>
        <w:t>13.3 Secrets &amp; Configuration Management</w:t>
      </w:r>
    </w:p>
    <w:p w14:paraId="3C5558A5" w14:textId="77777777" w:rsidR="00EC31E3" w:rsidRDefault="00000000">
      <w:pPr>
        <w:pStyle w:val="ListParagraph"/>
        <w:numPr>
          <w:ilvl w:val="0"/>
          <w:numId w:val="2"/>
        </w:numPr>
        <w:spacing w:before="40" w:after="40"/>
      </w:pPr>
      <w:r>
        <w:rPr>
          <w:color w:val="1A1A2E"/>
        </w:rPr>
        <w:t>All sensitive configuration values — database credentials, cryptographic signing keys, integration tokens — are provided via secure runtime environment configuration and are never present in application source code or container images.</w:t>
      </w:r>
    </w:p>
    <w:p w14:paraId="313689AF" w14:textId="77777777" w:rsidR="00EC31E3" w:rsidRDefault="00000000">
      <w:pPr>
        <w:pStyle w:val="ListParagraph"/>
        <w:numPr>
          <w:ilvl w:val="0"/>
          <w:numId w:val="2"/>
        </w:numPr>
        <w:spacing w:before="40" w:after="40"/>
      </w:pPr>
      <w:r>
        <w:rPr>
          <w:color w:val="1A1A2E"/>
        </w:rPr>
        <w:t>Sprint Bridge's configuration model is compatible with enterprise secrets management solutions, enabling organizations to apply their existing credential governance practices to the platform.</w:t>
      </w:r>
    </w:p>
    <w:p w14:paraId="144CCCF4" w14:textId="77777777" w:rsidR="00EC31E3" w:rsidRDefault="00EC31E3">
      <w:pPr>
        <w:spacing w:before="120"/>
      </w:pPr>
    </w:p>
    <w:p w14:paraId="615F5FF7" w14:textId="77777777" w:rsidR="00EC31E3" w:rsidRDefault="00000000">
      <w:pPr>
        <w:pStyle w:val="Heading2"/>
      </w:pPr>
      <w:r>
        <w:t>13.4 Scalability &amp; High Availability</w:t>
      </w:r>
    </w:p>
    <w:p w14:paraId="22F170D5" w14:textId="77777777" w:rsidR="00EC31E3" w:rsidRDefault="00000000">
      <w:pPr>
        <w:pStyle w:val="ListParagraph"/>
        <w:numPr>
          <w:ilvl w:val="0"/>
          <w:numId w:val="2"/>
        </w:numPr>
        <w:spacing w:before="40" w:after="40"/>
      </w:pPr>
      <w:r>
        <w:rPr>
          <w:color w:val="1A1A2E"/>
        </w:rPr>
        <w:t>Sprint Bridge's architecture supports horizontal scaling and load-balanced multi-instance deployment for organizations with high availability requirements.</w:t>
      </w:r>
    </w:p>
    <w:p w14:paraId="238256A6" w14:textId="77777777" w:rsidR="00EC31E3" w:rsidRDefault="00000000">
      <w:pPr>
        <w:pStyle w:val="ListParagraph"/>
        <w:numPr>
          <w:ilvl w:val="0"/>
          <w:numId w:val="2"/>
        </w:numPr>
        <w:spacing w:before="40" w:after="40"/>
      </w:pPr>
      <w:r>
        <w:rPr>
          <w:color w:val="1A1A2E"/>
        </w:rPr>
        <w:t>All stateful services — data storage and session management — support clustered, highly available configurations appropriate for production SLAs.</w:t>
      </w:r>
    </w:p>
    <w:p w14:paraId="5A42EBC7" w14:textId="77777777" w:rsidR="00EC31E3" w:rsidRDefault="00000000">
      <w:pPr>
        <w:pStyle w:val="ListParagraph"/>
        <w:numPr>
          <w:ilvl w:val="0"/>
          <w:numId w:val="2"/>
        </w:numPr>
        <w:spacing w:before="40" w:after="40"/>
      </w:pPr>
      <w:r>
        <w:rPr>
          <w:color w:val="1A1A2E"/>
        </w:rPr>
        <w:t>Kubernetes deployment is supported for organizations requiring container orchestration, with manifests supporting pod security policies, resource quotas, and auto-scaling.</w:t>
      </w:r>
    </w:p>
    <w:p w14:paraId="545C2A73" w14:textId="77777777" w:rsidR="00EC31E3" w:rsidRDefault="00EC31E3">
      <w:pPr>
        <w:spacing w:before="200"/>
      </w:pPr>
    </w:p>
    <w:p w14:paraId="6ED572F6" w14:textId="77777777" w:rsidR="00EC31E3" w:rsidRDefault="00000000">
      <w:pPr>
        <w:pStyle w:val="Heading1"/>
        <w:pBdr>
          <w:bottom w:val="single" w:sz="6" w:space="6" w:color="2E75B6"/>
        </w:pBdr>
      </w:pPr>
      <w:r>
        <w:t>14. Backup &amp; Disaster Recovery</w:t>
      </w:r>
    </w:p>
    <w:p w14:paraId="0DA84ADF" w14:textId="77777777" w:rsidR="00EC31E3" w:rsidRDefault="00000000">
      <w:pPr>
        <w:spacing w:before="80" w:after="80"/>
        <w:jc w:val="both"/>
      </w:pPr>
      <w:r>
        <w:rPr>
          <w:color w:val="1A1A2E"/>
        </w:rPr>
        <w:lastRenderedPageBreak/>
        <w:t>Sprint Bridge includes a built-in automated backup management system designed to support enterprise Recovery Time Objective (RTO) and Recovery Point Objective (RPO) requirements.</w:t>
      </w:r>
    </w:p>
    <w:p w14:paraId="0C4CF819" w14:textId="77777777" w:rsidR="00EC31E3" w:rsidRDefault="00000000">
      <w:pPr>
        <w:pStyle w:val="ListParagraph"/>
        <w:numPr>
          <w:ilvl w:val="0"/>
          <w:numId w:val="2"/>
        </w:numPr>
        <w:spacing w:before="40" w:after="40"/>
      </w:pPr>
      <w:r>
        <w:rPr>
          <w:b/>
          <w:bCs/>
          <w:color w:val="1A1A2E"/>
        </w:rPr>
        <w:t xml:space="preserve">Automated scheduling: </w:t>
      </w:r>
      <w:r>
        <w:rPr>
          <w:color w:val="1A1A2E"/>
        </w:rPr>
        <w:t>Database backup schedules are configured through the administration console, with configurable frequency and retention windows to match organizational data protection policies.</w:t>
      </w:r>
    </w:p>
    <w:p w14:paraId="7FD69B90" w14:textId="77777777" w:rsidR="00EC31E3" w:rsidRDefault="00000000">
      <w:pPr>
        <w:pStyle w:val="ListParagraph"/>
        <w:numPr>
          <w:ilvl w:val="0"/>
          <w:numId w:val="2"/>
        </w:numPr>
        <w:spacing w:before="40" w:after="40"/>
      </w:pPr>
      <w:r>
        <w:rPr>
          <w:b/>
          <w:bCs/>
          <w:color w:val="1A1A2E"/>
        </w:rPr>
        <w:t xml:space="preserve">Failure alerting: </w:t>
      </w:r>
      <w:r>
        <w:rPr>
          <w:color w:val="1A1A2E"/>
        </w:rPr>
        <w:t>Backup job failures trigger immediate alerts to administrators, ensuring that data protection gaps are identified and remediated promptly.</w:t>
      </w:r>
    </w:p>
    <w:p w14:paraId="671AE443" w14:textId="77777777" w:rsidR="00EC31E3" w:rsidRDefault="00000000">
      <w:pPr>
        <w:pStyle w:val="ListParagraph"/>
        <w:numPr>
          <w:ilvl w:val="0"/>
          <w:numId w:val="2"/>
        </w:numPr>
        <w:spacing w:before="40" w:after="40"/>
      </w:pPr>
      <w:r>
        <w:rPr>
          <w:b/>
          <w:bCs/>
          <w:color w:val="1A1A2E"/>
        </w:rPr>
        <w:t xml:space="preserve">Encrypted backup storage: </w:t>
      </w:r>
      <w:r>
        <w:rPr>
          <w:color w:val="1A1A2E"/>
        </w:rPr>
        <w:t>All backup archives are compressed and encrypted before being written to storage. Backup files cannot be read without the appropriate decryption credentials.</w:t>
      </w:r>
    </w:p>
    <w:p w14:paraId="0DB3CF69" w14:textId="77777777" w:rsidR="00EC31E3" w:rsidRDefault="00000000">
      <w:pPr>
        <w:pStyle w:val="ListParagraph"/>
        <w:numPr>
          <w:ilvl w:val="0"/>
          <w:numId w:val="2"/>
        </w:numPr>
        <w:spacing w:before="40" w:after="40"/>
      </w:pPr>
      <w:r>
        <w:rPr>
          <w:b/>
          <w:bCs/>
          <w:color w:val="1A1A2E"/>
        </w:rPr>
        <w:t xml:space="preserve">Point-in-time recovery: </w:t>
      </w:r>
      <w:r>
        <w:rPr>
          <w:color w:val="1A1A2E"/>
        </w:rPr>
        <w:t>Restore procedures support transactionally consistent point-in-time recovery, minimizing data inconsistency risk during restoration.</w:t>
      </w:r>
    </w:p>
    <w:p w14:paraId="4628A64B" w14:textId="77777777" w:rsidR="00EC31E3" w:rsidRDefault="00000000">
      <w:pPr>
        <w:pStyle w:val="ListParagraph"/>
        <w:numPr>
          <w:ilvl w:val="0"/>
          <w:numId w:val="2"/>
        </w:numPr>
        <w:spacing w:before="40" w:after="40"/>
      </w:pPr>
      <w:r>
        <w:rPr>
          <w:b/>
          <w:bCs/>
          <w:color w:val="1A1A2E"/>
        </w:rPr>
        <w:t xml:space="preserve">Configurable storage targets: </w:t>
      </w:r>
      <w:r>
        <w:rPr>
          <w:color w:val="1A1A2E"/>
        </w:rPr>
        <w:t>Backup storage paths are configurable to support on-premises file systems, AWS S3, Google Cloud Storage, and Azure Blob — consistent with the organization's broader data protection strategy.</w:t>
      </w:r>
    </w:p>
    <w:p w14:paraId="20805919" w14:textId="77777777" w:rsidR="00EC31E3" w:rsidRDefault="00000000">
      <w:pPr>
        <w:pStyle w:val="ListParagraph"/>
        <w:numPr>
          <w:ilvl w:val="0"/>
          <w:numId w:val="2"/>
        </w:numPr>
        <w:spacing w:before="40" w:after="40"/>
      </w:pPr>
      <w:r>
        <w:rPr>
          <w:b/>
          <w:bCs/>
          <w:color w:val="1A1A2E"/>
        </w:rPr>
        <w:t xml:space="preserve">High-availability architecture: </w:t>
      </w:r>
      <w:r>
        <w:rPr>
          <w:color w:val="1A1A2E"/>
        </w:rPr>
        <w:t>Production deployments support clustered configurations for both the primary database and session store, enabling failover without service interruption.</w:t>
      </w:r>
    </w:p>
    <w:p w14:paraId="76E6E35A" w14:textId="77777777" w:rsidR="00EC31E3" w:rsidRDefault="00EC31E3">
      <w:pPr>
        <w:spacing w:before="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EC31E3" w14:paraId="6B0EF47D" w14:textId="77777777">
        <w:tblPrEx>
          <w:tblCellMar>
            <w:top w:w="0" w:type="dxa"/>
            <w:bottom w:w="0" w:type="dxa"/>
          </w:tblCellMar>
        </w:tblPrEx>
        <w:tc>
          <w:tcPr>
            <w:tcW w:w="9360" w:type="dxa"/>
            <w:tcBorders>
              <w:top w:val="single" w:sz="1" w:space="0" w:color="C8D6E8"/>
              <w:left w:val="single" w:sz="1" w:space="0" w:color="C8D6E8"/>
              <w:bottom w:val="single" w:sz="1" w:space="0" w:color="C8D6E8"/>
              <w:right w:val="single" w:sz="1" w:space="0" w:color="C8D6E8"/>
            </w:tcBorders>
            <w:shd w:val="clear" w:color="auto" w:fill="F2F6FB"/>
            <w:tcMar>
              <w:top w:w="160" w:type="dxa"/>
              <w:left w:w="200" w:type="dxa"/>
              <w:bottom w:w="160" w:type="dxa"/>
              <w:right w:w="200" w:type="dxa"/>
            </w:tcMar>
          </w:tcPr>
          <w:p w14:paraId="12ACFAA5" w14:textId="77777777" w:rsidR="00EC31E3" w:rsidRDefault="00000000">
            <w:pPr>
              <w:spacing w:after="60"/>
            </w:pPr>
            <w:r>
              <w:rPr>
                <w:b/>
                <w:bCs/>
                <w:color w:val="1B4F8A"/>
              </w:rPr>
              <w:t>RTO / RPO Planning</w:t>
            </w:r>
          </w:p>
          <w:p w14:paraId="111844AA" w14:textId="77777777" w:rsidR="00EC31E3" w:rsidRDefault="00000000">
            <w:pPr>
              <w:jc w:val="both"/>
            </w:pPr>
            <w:r>
              <w:rPr>
                <w:color w:val="1A1A2E"/>
                <w:sz w:val="21"/>
                <w:szCs w:val="21"/>
              </w:rPr>
              <w:t>Sprint Bridge's backup and high-availability architecture is designed to support enterprise-grade recovery objectives. Specific RTO and RPO targets should be validated during deployment planning and documented in your organization's Business Continuity Plan.</w:t>
            </w:r>
          </w:p>
        </w:tc>
      </w:tr>
    </w:tbl>
    <w:p w14:paraId="37C64B3C" w14:textId="77777777" w:rsidR="00EC31E3" w:rsidRDefault="00EC31E3">
      <w:pPr>
        <w:spacing w:before="200"/>
      </w:pPr>
    </w:p>
    <w:p w14:paraId="4D40FEF5" w14:textId="77777777" w:rsidR="00EC31E3" w:rsidRDefault="00000000">
      <w:r>
        <w:br w:type="page"/>
      </w:r>
    </w:p>
    <w:p w14:paraId="5181E5C1" w14:textId="77777777" w:rsidR="00EC31E3" w:rsidRDefault="00000000">
      <w:pPr>
        <w:pStyle w:val="Heading1"/>
        <w:pBdr>
          <w:bottom w:val="single" w:sz="6" w:space="6" w:color="2E75B6"/>
        </w:pBdr>
      </w:pPr>
      <w:r>
        <w:lastRenderedPageBreak/>
        <w:t>15. Security Support &amp; Responsible Disclosure</w:t>
      </w:r>
    </w:p>
    <w:p w14:paraId="7F57F467" w14:textId="77777777" w:rsidR="00EC31E3" w:rsidRDefault="00000000">
      <w:pPr>
        <w:spacing w:before="80" w:after="80"/>
        <w:jc w:val="both"/>
      </w:pPr>
      <w:proofErr w:type="spellStart"/>
      <w:r>
        <w:rPr>
          <w:color w:val="1A1A2E"/>
        </w:rPr>
        <w:t>Xidisk</w:t>
      </w:r>
      <w:proofErr w:type="spellEnd"/>
      <w:r>
        <w:rPr>
          <w:color w:val="1A1A2E"/>
        </w:rPr>
        <w:t xml:space="preserve"> Software Solutions is committed to maintaining and continuously improving the security posture of Sprint Bridge Enterprise. Enterprise customers receive a comprehensive security support </w:t>
      </w:r>
      <w:proofErr w:type="spellStart"/>
      <w:r>
        <w:rPr>
          <w:color w:val="1A1A2E"/>
        </w:rPr>
        <w:t>programme</w:t>
      </w:r>
      <w:proofErr w:type="spellEnd"/>
      <w:r>
        <w:rPr>
          <w:color w:val="1A1A2E"/>
        </w:rPr>
        <w:t xml:space="preserve"> as part of their </w:t>
      </w:r>
      <w:proofErr w:type="spellStart"/>
      <w:r>
        <w:rPr>
          <w:color w:val="1A1A2E"/>
        </w:rPr>
        <w:t>licence</w:t>
      </w:r>
      <w:proofErr w:type="spellEnd"/>
      <w:r>
        <w:rPr>
          <w:color w:val="1A1A2E"/>
        </w:rPr>
        <w:t xml:space="preserve"> agreement.</w:t>
      </w:r>
    </w:p>
    <w:p w14:paraId="6C4804B5" w14:textId="77777777" w:rsidR="00EC31E3" w:rsidRDefault="00EC31E3">
      <w:pPr>
        <w:spacing w:before="120"/>
      </w:pPr>
    </w:p>
    <w:p w14:paraId="21E9862C" w14:textId="77777777" w:rsidR="00EC31E3" w:rsidRDefault="00000000">
      <w:pPr>
        <w:pStyle w:val="Heading2"/>
      </w:pPr>
      <w:r>
        <w:t>15.1 Security Patch Management</w:t>
      </w:r>
    </w:p>
    <w:p w14:paraId="16CD078D" w14:textId="77777777" w:rsidR="00EC31E3" w:rsidRDefault="00000000">
      <w:pPr>
        <w:pStyle w:val="ListParagraph"/>
        <w:numPr>
          <w:ilvl w:val="0"/>
          <w:numId w:val="2"/>
        </w:numPr>
        <w:spacing w:before="40" w:after="40"/>
      </w:pPr>
      <w:r>
        <w:rPr>
          <w:color w:val="1A1A2E"/>
        </w:rPr>
        <w:t>Security patches are delivered as part of the standard software update lifecycle, with clear release notes identifying the nature and severity of each fix.</w:t>
      </w:r>
    </w:p>
    <w:p w14:paraId="52A75D3A" w14:textId="77777777" w:rsidR="00EC31E3" w:rsidRDefault="00000000">
      <w:pPr>
        <w:pStyle w:val="ListParagraph"/>
        <w:numPr>
          <w:ilvl w:val="0"/>
          <w:numId w:val="2"/>
        </w:numPr>
        <w:spacing w:before="40" w:after="40"/>
      </w:pPr>
      <w:r>
        <w:rPr>
          <w:color w:val="1A1A2E"/>
        </w:rPr>
        <w:t>Critical security vulnerabilities are addressed with expedited out-of-cycle patch releases, independent of the standard release cadence.</w:t>
      </w:r>
    </w:p>
    <w:p w14:paraId="79B04BF7" w14:textId="77777777" w:rsidR="00EC31E3" w:rsidRDefault="00000000">
      <w:pPr>
        <w:pStyle w:val="ListParagraph"/>
        <w:numPr>
          <w:ilvl w:val="0"/>
          <w:numId w:val="2"/>
        </w:numPr>
        <w:spacing w:before="40" w:after="40"/>
      </w:pPr>
      <w:r>
        <w:rPr>
          <w:color w:val="1A1A2E"/>
        </w:rPr>
        <w:t xml:space="preserve">Enterprise </w:t>
      </w:r>
      <w:proofErr w:type="spellStart"/>
      <w:r>
        <w:rPr>
          <w:color w:val="1A1A2E"/>
        </w:rPr>
        <w:t>licence</w:t>
      </w:r>
      <w:proofErr w:type="spellEnd"/>
      <w:r>
        <w:rPr>
          <w:color w:val="1A1A2E"/>
        </w:rPr>
        <w:t xml:space="preserve"> holders receive advance notification of security updates, along with remediation guidance, prior to public disclosure.</w:t>
      </w:r>
    </w:p>
    <w:p w14:paraId="7B5F3106" w14:textId="77777777" w:rsidR="00EC31E3" w:rsidRDefault="00EC31E3">
      <w:pPr>
        <w:spacing w:before="120"/>
      </w:pPr>
    </w:p>
    <w:p w14:paraId="0DE89B69" w14:textId="77777777" w:rsidR="00EC31E3" w:rsidRDefault="00000000">
      <w:pPr>
        <w:pStyle w:val="Heading2"/>
      </w:pPr>
      <w:r>
        <w:t>15.2 Responsible Disclosure</w:t>
      </w:r>
    </w:p>
    <w:p w14:paraId="2F9EB1BC" w14:textId="77777777" w:rsidR="00EC31E3" w:rsidRDefault="00000000">
      <w:pPr>
        <w:spacing w:before="80" w:after="80"/>
        <w:jc w:val="both"/>
      </w:pPr>
      <w:proofErr w:type="spellStart"/>
      <w:r>
        <w:rPr>
          <w:color w:val="1A1A2E"/>
        </w:rPr>
        <w:t>Xidisk</w:t>
      </w:r>
      <w:proofErr w:type="spellEnd"/>
      <w:r>
        <w:rPr>
          <w:color w:val="1A1A2E"/>
        </w:rPr>
        <w:t xml:space="preserve"> Software Solutions welcomes responsible disclosure of potential security vulnerabilities in Sprint Bridge Enterprise. </w:t>
      </w:r>
      <w:proofErr w:type="spellStart"/>
      <w:r>
        <w:rPr>
          <w:color w:val="1A1A2E"/>
        </w:rPr>
        <w:t>Organisations</w:t>
      </w:r>
      <w:proofErr w:type="spellEnd"/>
      <w:r>
        <w:rPr>
          <w:color w:val="1A1A2E"/>
        </w:rPr>
        <w:t xml:space="preserve"> or researchers who identify a potential security issue are encouraged to contact our Technical Account Management team before public disclosure, to allow for coordinated investigation and remediation.</w:t>
      </w:r>
    </w:p>
    <w:p w14:paraId="761541AD" w14:textId="77777777" w:rsidR="00EC31E3" w:rsidRDefault="00EC31E3">
      <w:pPr>
        <w:spacing w:before="120"/>
      </w:pPr>
    </w:p>
    <w:p w14:paraId="28857585" w14:textId="77777777" w:rsidR="00EC31E3" w:rsidRDefault="00000000">
      <w:pPr>
        <w:pStyle w:val="Heading2"/>
      </w:pPr>
      <w:r>
        <w:t>15.3 Security Contact Information</w:t>
      </w:r>
    </w:p>
    <w:p w14:paraId="22FA49E8" w14:textId="77777777" w:rsidR="00EC31E3" w:rsidRDefault="00000000">
      <w:pPr>
        <w:pStyle w:val="ListParagraph"/>
        <w:numPr>
          <w:ilvl w:val="0"/>
          <w:numId w:val="2"/>
        </w:numPr>
        <w:spacing w:before="40" w:after="40"/>
      </w:pPr>
      <w:r>
        <w:rPr>
          <w:b/>
          <w:bCs/>
          <w:color w:val="1A1A2E"/>
        </w:rPr>
        <w:t xml:space="preserve">Enterprise Sales: </w:t>
      </w:r>
      <w:r>
        <w:rPr>
          <w:color w:val="1A1A2E"/>
        </w:rPr>
        <w:t>enterprise-sales@xidisk.com</w:t>
      </w:r>
    </w:p>
    <w:p w14:paraId="76F213E8" w14:textId="77777777" w:rsidR="00EC31E3" w:rsidRDefault="00000000">
      <w:pPr>
        <w:pStyle w:val="ListParagraph"/>
        <w:numPr>
          <w:ilvl w:val="0"/>
          <w:numId w:val="2"/>
        </w:numPr>
        <w:spacing w:before="40" w:after="40"/>
      </w:pPr>
      <w:r>
        <w:rPr>
          <w:b/>
          <w:bCs/>
          <w:color w:val="1A1A2E"/>
        </w:rPr>
        <w:t xml:space="preserve">Legal &amp; Compliance: </w:t>
      </w:r>
      <w:r>
        <w:rPr>
          <w:color w:val="1A1A2E"/>
        </w:rPr>
        <w:t>legal@xidisk.com</w:t>
      </w:r>
    </w:p>
    <w:p w14:paraId="3FF2A830" w14:textId="77777777" w:rsidR="00EC31E3" w:rsidRDefault="00000000">
      <w:pPr>
        <w:pStyle w:val="ListParagraph"/>
        <w:numPr>
          <w:ilvl w:val="0"/>
          <w:numId w:val="2"/>
        </w:numPr>
        <w:spacing w:before="40" w:after="40"/>
      </w:pPr>
      <w:r>
        <w:rPr>
          <w:b/>
          <w:bCs/>
          <w:color w:val="1A1A2E"/>
        </w:rPr>
        <w:t xml:space="preserve">Technical Account Management: </w:t>
      </w:r>
      <w:r>
        <w:rPr>
          <w:color w:val="1A1A2E"/>
        </w:rPr>
        <w:t>tam@xidisk.com</w:t>
      </w:r>
    </w:p>
    <w:p w14:paraId="5B2B0B7C" w14:textId="77777777" w:rsidR="00EC31E3" w:rsidRDefault="00000000">
      <w:pPr>
        <w:pStyle w:val="ListParagraph"/>
        <w:numPr>
          <w:ilvl w:val="0"/>
          <w:numId w:val="2"/>
        </w:numPr>
        <w:spacing w:before="40" w:after="40"/>
      </w:pPr>
      <w:r>
        <w:rPr>
          <w:b/>
          <w:bCs/>
          <w:color w:val="1A1A2E"/>
        </w:rPr>
        <w:t xml:space="preserve">Enterprise Portal: </w:t>
      </w:r>
      <w:r>
        <w:rPr>
          <w:color w:val="1A1A2E"/>
        </w:rPr>
        <w:t>https://www.xidisk.com/enterprise</w:t>
      </w:r>
    </w:p>
    <w:p w14:paraId="1D6469EB" w14:textId="77777777" w:rsidR="00EC31E3" w:rsidRDefault="00EC31E3">
      <w:pPr>
        <w:spacing w:before="120"/>
      </w:pPr>
    </w:p>
    <w:p w14:paraId="304015FE" w14:textId="77777777" w:rsidR="00EC31E3" w:rsidRDefault="00000000">
      <w:pPr>
        <w:spacing w:before="80" w:after="80"/>
        <w:jc w:val="both"/>
      </w:pPr>
      <w:r>
        <w:rPr>
          <w:color w:val="1A1A2E"/>
        </w:rPr>
        <w:t>For urgent security matters or active incident response, contact your assigned Technical Account Manager directly.</w:t>
      </w:r>
    </w:p>
    <w:p w14:paraId="25987EE7" w14:textId="77777777" w:rsidR="00EC31E3" w:rsidRDefault="00EC31E3">
      <w:pPr>
        <w:spacing w:before="400"/>
      </w:pPr>
    </w:p>
    <w:p w14:paraId="66491E49" w14:textId="77777777" w:rsidR="00EC31E3" w:rsidRDefault="00000000">
      <w:pPr>
        <w:jc w:val="center"/>
      </w:pPr>
      <w:r>
        <w:rPr>
          <w:color w:val="C8D6E8"/>
          <w:sz w:val="20"/>
          <w:szCs w:val="20"/>
        </w:rPr>
        <w:t>————————————————————————————————</w:t>
      </w:r>
    </w:p>
    <w:p w14:paraId="1E1BC378" w14:textId="77777777" w:rsidR="00EC31E3" w:rsidRDefault="00EC31E3">
      <w:pPr>
        <w:spacing w:before="100"/>
      </w:pPr>
    </w:p>
    <w:p w14:paraId="2A268A1E" w14:textId="77777777" w:rsidR="00EC31E3" w:rsidRDefault="00000000">
      <w:pPr>
        <w:jc w:val="center"/>
      </w:pPr>
      <w:r>
        <w:rPr>
          <w:i/>
          <w:iCs/>
          <w:color w:val="555577"/>
          <w:sz w:val="20"/>
          <w:szCs w:val="20"/>
        </w:rPr>
        <w:t xml:space="preserve">Sprint Bridge Enterprise </w:t>
      </w:r>
      <w:proofErr w:type="gramStart"/>
      <w:r>
        <w:rPr>
          <w:i/>
          <w:iCs/>
          <w:color w:val="555577"/>
          <w:sz w:val="20"/>
          <w:szCs w:val="20"/>
        </w:rPr>
        <w:t>v1.6.0  —</w:t>
      </w:r>
      <w:proofErr w:type="gramEnd"/>
      <w:r>
        <w:rPr>
          <w:i/>
          <w:iCs/>
          <w:color w:val="555577"/>
          <w:sz w:val="20"/>
          <w:szCs w:val="20"/>
        </w:rPr>
        <w:t xml:space="preserve">  April </w:t>
      </w:r>
      <w:proofErr w:type="gramStart"/>
      <w:r>
        <w:rPr>
          <w:i/>
          <w:iCs/>
          <w:color w:val="555577"/>
          <w:sz w:val="20"/>
          <w:szCs w:val="20"/>
        </w:rPr>
        <w:t>2026  —</w:t>
      </w:r>
      <w:proofErr w:type="gramEnd"/>
      <w:r>
        <w:rPr>
          <w:i/>
          <w:iCs/>
          <w:color w:val="555577"/>
          <w:sz w:val="20"/>
          <w:szCs w:val="20"/>
        </w:rPr>
        <w:t xml:space="preserve">  </w:t>
      </w:r>
      <w:proofErr w:type="spellStart"/>
      <w:r>
        <w:rPr>
          <w:i/>
          <w:iCs/>
          <w:color w:val="555577"/>
          <w:sz w:val="20"/>
          <w:szCs w:val="20"/>
        </w:rPr>
        <w:t>Xidisk</w:t>
      </w:r>
      <w:proofErr w:type="spellEnd"/>
      <w:r>
        <w:rPr>
          <w:i/>
          <w:iCs/>
          <w:color w:val="555577"/>
          <w:sz w:val="20"/>
          <w:szCs w:val="20"/>
        </w:rPr>
        <w:t xml:space="preserve"> Software Solutions</w:t>
      </w:r>
    </w:p>
    <w:p w14:paraId="238D6B3B" w14:textId="77777777" w:rsidR="00EC31E3" w:rsidRDefault="00000000">
      <w:pPr>
        <w:spacing w:before="60"/>
        <w:jc w:val="center"/>
      </w:pPr>
      <w:r>
        <w:rPr>
          <w:i/>
          <w:iCs/>
          <w:color w:val="555577"/>
          <w:sz w:val="18"/>
          <w:szCs w:val="18"/>
        </w:rPr>
        <w:t>This document is provided for informational purposes. Compliance posture depends on deployment configuration and organizational policy.</w:t>
      </w:r>
    </w:p>
    <w:sectPr w:rsidR="00EC31E3">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8EC422" w14:textId="77777777" w:rsidR="009E62BD" w:rsidRDefault="009E62BD">
      <w:r>
        <w:separator/>
      </w:r>
    </w:p>
  </w:endnote>
  <w:endnote w:type="continuationSeparator" w:id="0">
    <w:p w14:paraId="4905B84E" w14:textId="77777777" w:rsidR="009E62BD" w:rsidRDefault="009E6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1712CC" w14:textId="62ED9729" w:rsidR="00EC31E3" w:rsidRDefault="00000000">
    <w:pPr>
      <w:pBdr>
        <w:top w:val="single" w:sz="4" w:space="4" w:color="2E75B6"/>
      </w:pBdr>
      <w:tabs>
        <w:tab w:val="right" w:pos="9360"/>
      </w:tabs>
      <w:spacing w:before="120"/>
    </w:pPr>
    <w:r>
      <w:rPr>
        <w:color w:val="555577"/>
        <w:sz w:val="18"/>
        <w:szCs w:val="18"/>
      </w:rPr>
      <w:t xml:space="preserve">© 2026 </w:t>
    </w:r>
    <w:proofErr w:type="spellStart"/>
    <w:r>
      <w:rPr>
        <w:color w:val="555577"/>
        <w:sz w:val="18"/>
        <w:szCs w:val="18"/>
      </w:rPr>
      <w:t>Xidisk</w:t>
    </w:r>
    <w:proofErr w:type="spellEnd"/>
    <w:r>
      <w:rPr>
        <w:color w:val="555577"/>
        <w:sz w:val="18"/>
        <w:szCs w:val="18"/>
      </w:rPr>
      <w:t xml:space="preserve"> Software Solutions. All rights reserved.</w:t>
    </w:r>
    <w:r>
      <w:rPr>
        <w:sz w:val="18"/>
        <w:szCs w:val="18"/>
      </w:rPr>
      <w:tab/>
    </w:r>
    <w:proofErr w:type="gramStart"/>
    <w:r>
      <w:rPr>
        <w:color w:val="555577"/>
        <w:sz w:val="18"/>
        <w:szCs w:val="18"/>
      </w:rPr>
      <w:t>sprint-bridge.</w:t>
    </w:r>
    <w:r w:rsidR="001F7AD4">
      <w:rPr>
        <w:color w:val="555577"/>
        <w:sz w:val="18"/>
        <w:szCs w:val="18"/>
      </w:rPr>
      <w:t>com</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D5BCD" w14:textId="77777777" w:rsidR="009E62BD" w:rsidRDefault="009E62BD">
      <w:r>
        <w:separator/>
      </w:r>
    </w:p>
  </w:footnote>
  <w:footnote w:type="continuationSeparator" w:id="0">
    <w:p w14:paraId="4AA7C917" w14:textId="77777777" w:rsidR="009E62BD" w:rsidRDefault="009E62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57AF9" w14:textId="77777777" w:rsidR="00EC31E3" w:rsidRDefault="00000000">
    <w:pPr>
      <w:pBdr>
        <w:bottom w:val="single" w:sz="4" w:space="4" w:color="2E75B6"/>
      </w:pBdr>
      <w:tabs>
        <w:tab w:val="right" w:pos="9360"/>
      </w:tabs>
      <w:spacing w:after="120"/>
    </w:pPr>
    <w:r>
      <w:rPr>
        <w:color w:val="555577"/>
        <w:sz w:val="18"/>
        <w:szCs w:val="18"/>
      </w:rPr>
      <w:t xml:space="preserve">Sprint Bridge </w:t>
    </w:r>
    <w:proofErr w:type="gramStart"/>
    <w:r>
      <w:rPr>
        <w:color w:val="555577"/>
        <w:sz w:val="18"/>
        <w:szCs w:val="18"/>
      </w:rPr>
      <w:t>Enterprise  —</w:t>
    </w:r>
    <w:proofErr w:type="gramEnd"/>
    <w:r>
      <w:rPr>
        <w:color w:val="555577"/>
        <w:sz w:val="18"/>
        <w:szCs w:val="18"/>
      </w:rPr>
      <w:t xml:space="preserve">  Security &amp; Compliance Whitepaper</w:t>
    </w:r>
    <w:r>
      <w:rPr>
        <w:sz w:val="18"/>
        <w:szCs w:val="18"/>
      </w:rPr>
      <w:tab/>
    </w:r>
    <w:r>
      <w:rPr>
        <w:b/>
        <w:bCs/>
        <w:color w:val="1B4F8A"/>
        <w:sz w:val="18"/>
        <w:szCs w:val="18"/>
      </w:rPr>
      <w:t>PUBLIC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A53F7F"/>
    <w:multiLevelType w:val="hybridMultilevel"/>
    <w:tmpl w:val="48F40DCA"/>
    <w:lvl w:ilvl="0" w:tplc="41A849DE">
      <w:start w:val="1"/>
      <w:numFmt w:val="bullet"/>
      <w:lvlText w:val="•"/>
      <w:lvlJc w:val="left"/>
      <w:pPr>
        <w:ind w:left="720" w:hanging="360"/>
      </w:pPr>
    </w:lvl>
    <w:lvl w:ilvl="1" w:tplc="16D8C464">
      <w:numFmt w:val="decimal"/>
      <w:lvlText w:val=""/>
      <w:lvlJc w:val="left"/>
    </w:lvl>
    <w:lvl w:ilvl="2" w:tplc="DF3EF49E">
      <w:numFmt w:val="decimal"/>
      <w:lvlText w:val=""/>
      <w:lvlJc w:val="left"/>
    </w:lvl>
    <w:lvl w:ilvl="3" w:tplc="E00E2628">
      <w:numFmt w:val="decimal"/>
      <w:lvlText w:val=""/>
      <w:lvlJc w:val="left"/>
    </w:lvl>
    <w:lvl w:ilvl="4" w:tplc="181C53EC">
      <w:numFmt w:val="decimal"/>
      <w:lvlText w:val=""/>
      <w:lvlJc w:val="left"/>
    </w:lvl>
    <w:lvl w:ilvl="5" w:tplc="161EBCEC">
      <w:numFmt w:val="decimal"/>
      <w:lvlText w:val=""/>
      <w:lvlJc w:val="left"/>
    </w:lvl>
    <w:lvl w:ilvl="6" w:tplc="35043B54">
      <w:numFmt w:val="decimal"/>
      <w:lvlText w:val=""/>
      <w:lvlJc w:val="left"/>
    </w:lvl>
    <w:lvl w:ilvl="7" w:tplc="91D07FC6">
      <w:numFmt w:val="decimal"/>
      <w:lvlText w:val=""/>
      <w:lvlJc w:val="left"/>
    </w:lvl>
    <w:lvl w:ilvl="8" w:tplc="4B0097E6">
      <w:numFmt w:val="decimal"/>
      <w:lvlText w:val=""/>
      <w:lvlJc w:val="left"/>
    </w:lvl>
  </w:abstractNum>
  <w:abstractNum w:abstractNumId="1" w15:restartNumberingAfterBreak="0">
    <w:nsid w:val="72B14275"/>
    <w:multiLevelType w:val="hybridMultilevel"/>
    <w:tmpl w:val="CC4E76E4"/>
    <w:lvl w:ilvl="0" w:tplc="77B03C6C">
      <w:start w:val="1"/>
      <w:numFmt w:val="bullet"/>
      <w:lvlText w:val="●"/>
      <w:lvlJc w:val="left"/>
      <w:pPr>
        <w:ind w:left="720" w:hanging="360"/>
      </w:pPr>
    </w:lvl>
    <w:lvl w:ilvl="1" w:tplc="8EA26FA8">
      <w:start w:val="1"/>
      <w:numFmt w:val="bullet"/>
      <w:lvlText w:val="○"/>
      <w:lvlJc w:val="left"/>
      <w:pPr>
        <w:ind w:left="1440" w:hanging="360"/>
      </w:pPr>
    </w:lvl>
    <w:lvl w:ilvl="2" w:tplc="F4C02976">
      <w:start w:val="1"/>
      <w:numFmt w:val="bullet"/>
      <w:lvlText w:val="■"/>
      <w:lvlJc w:val="left"/>
      <w:pPr>
        <w:ind w:left="2160" w:hanging="360"/>
      </w:pPr>
    </w:lvl>
    <w:lvl w:ilvl="3" w:tplc="F3602CB4">
      <w:start w:val="1"/>
      <w:numFmt w:val="bullet"/>
      <w:lvlText w:val="●"/>
      <w:lvlJc w:val="left"/>
      <w:pPr>
        <w:ind w:left="2880" w:hanging="360"/>
      </w:pPr>
    </w:lvl>
    <w:lvl w:ilvl="4" w:tplc="5A6AFEFE">
      <w:start w:val="1"/>
      <w:numFmt w:val="bullet"/>
      <w:lvlText w:val="○"/>
      <w:lvlJc w:val="left"/>
      <w:pPr>
        <w:ind w:left="3600" w:hanging="360"/>
      </w:pPr>
    </w:lvl>
    <w:lvl w:ilvl="5" w:tplc="E1424C6E">
      <w:start w:val="1"/>
      <w:numFmt w:val="bullet"/>
      <w:lvlText w:val="■"/>
      <w:lvlJc w:val="left"/>
      <w:pPr>
        <w:ind w:left="4320" w:hanging="360"/>
      </w:pPr>
    </w:lvl>
    <w:lvl w:ilvl="6" w:tplc="8A36D614">
      <w:start w:val="1"/>
      <w:numFmt w:val="bullet"/>
      <w:lvlText w:val="●"/>
      <w:lvlJc w:val="left"/>
      <w:pPr>
        <w:ind w:left="5040" w:hanging="360"/>
      </w:pPr>
    </w:lvl>
    <w:lvl w:ilvl="7" w:tplc="6FD0108C">
      <w:start w:val="1"/>
      <w:numFmt w:val="bullet"/>
      <w:lvlText w:val="●"/>
      <w:lvlJc w:val="left"/>
      <w:pPr>
        <w:ind w:left="5760" w:hanging="360"/>
      </w:pPr>
    </w:lvl>
    <w:lvl w:ilvl="8" w:tplc="341C9B62">
      <w:start w:val="1"/>
      <w:numFmt w:val="bullet"/>
      <w:lvlText w:val="●"/>
      <w:lvlJc w:val="left"/>
      <w:pPr>
        <w:ind w:left="6480" w:hanging="360"/>
      </w:pPr>
    </w:lvl>
  </w:abstractNum>
  <w:num w:numId="1" w16cid:durableId="806556698">
    <w:abstractNumId w:val="1"/>
    <w:lvlOverride w:ilvl="0">
      <w:startOverride w:val="1"/>
    </w:lvlOverride>
  </w:num>
  <w:num w:numId="2" w16cid:durableId="190502248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31E3"/>
    <w:rsid w:val="001F7AD4"/>
    <w:rsid w:val="004C3796"/>
    <w:rsid w:val="009E62BD"/>
    <w:rsid w:val="00C70B31"/>
    <w:rsid w:val="00EC31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FA4EB"/>
  <w15:docId w15:val="{319C07B4-F8C4-4369-945B-01E6DA384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400" w:after="160"/>
      <w:outlineLvl w:val="0"/>
    </w:pPr>
    <w:rPr>
      <w:b/>
      <w:bCs/>
      <w:color w:val="1B4F8A"/>
      <w:sz w:val="32"/>
      <w:szCs w:val="32"/>
    </w:rPr>
  </w:style>
  <w:style w:type="paragraph" w:styleId="Heading2">
    <w:name w:val="heading 2"/>
    <w:uiPriority w:val="9"/>
    <w:unhideWhenUsed/>
    <w:qFormat/>
    <w:pPr>
      <w:spacing w:before="280" w:after="100"/>
      <w:outlineLvl w:val="1"/>
    </w:pPr>
    <w:rPr>
      <w:b/>
      <w:bCs/>
      <w:color w:val="2E75B6"/>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1F7AD4"/>
    <w:pPr>
      <w:tabs>
        <w:tab w:val="center" w:pos="4680"/>
        <w:tab w:val="right" w:pos="9360"/>
      </w:tabs>
    </w:pPr>
  </w:style>
  <w:style w:type="character" w:customStyle="1" w:styleId="HeaderChar">
    <w:name w:val="Header Char"/>
    <w:basedOn w:val="DefaultParagraphFont"/>
    <w:link w:val="Header"/>
    <w:uiPriority w:val="99"/>
    <w:rsid w:val="001F7AD4"/>
  </w:style>
  <w:style w:type="paragraph" w:styleId="Footer">
    <w:name w:val="footer"/>
    <w:basedOn w:val="Normal"/>
    <w:link w:val="FooterChar"/>
    <w:uiPriority w:val="99"/>
    <w:unhideWhenUsed/>
    <w:rsid w:val="001F7AD4"/>
    <w:pPr>
      <w:tabs>
        <w:tab w:val="center" w:pos="4680"/>
        <w:tab w:val="right" w:pos="9360"/>
      </w:tabs>
    </w:pPr>
  </w:style>
  <w:style w:type="character" w:customStyle="1" w:styleId="FooterChar">
    <w:name w:val="Footer Char"/>
    <w:basedOn w:val="DefaultParagraphFont"/>
    <w:link w:val="Footer"/>
    <w:uiPriority w:val="99"/>
    <w:rsid w:val="001F7A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3894</Words>
  <Characters>22201</Characters>
  <Application>Microsoft Office Word</Application>
  <DocSecurity>0</DocSecurity>
  <Lines>185</Lines>
  <Paragraphs>52</Paragraphs>
  <ScaleCrop>false</ScaleCrop>
  <Company/>
  <LinksUpToDate>false</LinksUpToDate>
  <CharactersWithSpaces>26043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Chris Ogden</cp:lastModifiedBy>
  <cp:revision>3</cp:revision>
  <dcterms:created xsi:type="dcterms:W3CDTF">2026-04-09T11:55:00Z</dcterms:created>
  <dcterms:modified xsi:type="dcterms:W3CDTF">2026-04-09T21:22:00Z</dcterms:modified>
</cp:coreProperties>
</file>